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AD83" w14:textId="54B19B2B" w:rsidR="00077C01" w:rsidRDefault="00E7182F" w:rsidP="000F6685">
      <w:pPr>
        <w:jc w:val="both"/>
        <w:rPr>
          <w:rFonts w:ascii="Garamond" w:eastAsia="Times New Roman" w:hAnsi="Garamond" w:cs="Arial"/>
          <w:color w:val="222222"/>
          <w:sz w:val="24"/>
          <w:szCs w:val="24"/>
        </w:rPr>
      </w:pPr>
      <w:r w:rsidRPr="00E7182F">
        <w:rPr>
          <w:rFonts w:ascii="Garamond" w:eastAsia="Times New Roman" w:hAnsi="Garamond" w:cs="Arial"/>
          <w:noProof/>
          <w:color w:val="222222"/>
          <w:sz w:val="24"/>
          <w:szCs w:val="24"/>
          <w:lang w:eastAsia="fr-FR"/>
        </w:rPr>
        <w:drawing>
          <wp:inline distT="0" distB="0" distL="0" distR="0" wp14:anchorId="45F76D1C" wp14:editId="6B033C12">
            <wp:extent cx="5759450" cy="8150348"/>
            <wp:effectExtent l="0" t="0" r="0" b="3175"/>
            <wp:docPr id="9" name="Image 9" descr="C:\Users\RESSOURCE HUMAINE\Downloads\A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SSOURCE HUMAINE\Downloads\AGS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50348"/>
                    </a:xfrm>
                    <a:prstGeom prst="rect">
                      <a:avLst/>
                    </a:prstGeom>
                    <a:noFill/>
                    <a:ln>
                      <a:noFill/>
                    </a:ln>
                  </pic:spPr>
                </pic:pic>
              </a:graphicData>
            </a:graphic>
          </wp:inline>
        </w:drawing>
      </w:r>
    </w:p>
    <w:p w14:paraId="5B62BB72" w14:textId="4E6811D4" w:rsidR="009A35D2" w:rsidRDefault="009A35D2" w:rsidP="000F6685">
      <w:pPr>
        <w:jc w:val="both"/>
        <w:rPr>
          <w:rFonts w:ascii="Garamond" w:eastAsia="Times New Roman" w:hAnsi="Garamond" w:cs="Arial"/>
          <w:color w:val="222222"/>
          <w:sz w:val="6"/>
          <w:szCs w:val="24"/>
        </w:rPr>
      </w:pPr>
    </w:p>
    <w:p w14:paraId="0980CFAE" w14:textId="16A94939" w:rsidR="008B321B" w:rsidRDefault="008B321B" w:rsidP="000F6685">
      <w:pPr>
        <w:jc w:val="both"/>
        <w:rPr>
          <w:rFonts w:ascii="Garamond" w:eastAsia="Times New Roman" w:hAnsi="Garamond" w:cs="Arial"/>
          <w:color w:val="222222"/>
          <w:sz w:val="6"/>
          <w:szCs w:val="24"/>
        </w:rPr>
      </w:pPr>
    </w:p>
    <w:p w14:paraId="776AC14E" w14:textId="77777777" w:rsidR="008B321B" w:rsidRPr="009A35D2" w:rsidRDefault="008B321B" w:rsidP="000F6685">
      <w:pPr>
        <w:jc w:val="both"/>
        <w:rPr>
          <w:rFonts w:ascii="Garamond" w:eastAsia="Times New Roman" w:hAnsi="Garamond" w:cs="Arial"/>
          <w:color w:val="222222"/>
          <w:sz w:val="6"/>
          <w:szCs w:val="24"/>
        </w:rPr>
      </w:pPr>
    </w:p>
    <w:sdt>
      <w:sdtPr>
        <w:rPr>
          <w:rFonts w:asciiTheme="minorHAnsi" w:eastAsiaTheme="minorHAnsi" w:hAnsiTheme="minorHAnsi" w:cstheme="minorBidi"/>
          <w:color w:val="auto"/>
          <w:sz w:val="22"/>
          <w:szCs w:val="22"/>
          <w:lang w:eastAsia="en-US"/>
        </w:rPr>
        <w:id w:val="1970700496"/>
        <w:docPartObj>
          <w:docPartGallery w:val="Table of Contents"/>
          <w:docPartUnique/>
        </w:docPartObj>
      </w:sdtPr>
      <w:sdtEndPr>
        <w:rPr>
          <w:b/>
          <w:bCs/>
        </w:rPr>
      </w:sdtEndPr>
      <w:sdtContent>
        <w:p w14:paraId="08735027" w14:textId="4A41CB1F" w:rsidR="00077C01" w:rsidRPr="008B321B" w:rsidRDefault="00A37809">
          <w:pPr>
            <w:pStyle w:val="En-ttedetabledesmatires"/>
            <w:rPr>
              <w:rFonts w:ascii="Garamond" w:hAnsi="Garamond"/>
              <w:sz w:val="28"/>
            </w:rPr>
          </w:pPr>
          <w:r w:rsidRPr="008B321B">
            <w:rPr>
              <w:rFonts w:ascii="Garamond" w:hAnsi="Garamond"/>
              <w:sz w:val="28"/>
            </w:rPr>
            <w:t>TABLE DES MATIERES</w:t>
          </w:r>
        </w:p>
        <w:p w14:paraId="591A3B41" w14:textId="77777777" w:rsidR="003D650F" w:rsidRPr="003D650F" w:rsidRDefault="003D650F" w:rsidP="003D650F">
          <w:pPr>
            <w:rPr>
              <w:sz w:val="6"/>
              <w:lang w:eastAsia="fr-FR"/>
            </w:rPr>
          </w:pPr>
        </w:p>
        <w:p w14:paraId="59BDB64F" w14:textId="7876CCF6" w:rsidR="008B321B" w:rsidRDefault="00077C01">
          <w:pPr>
            <w:pStyle w:val="TM1"/>
            <w:tabs>
              <w:tab w:val="right" w:leader="dot" w:pos="9060"/>
            </w:tabs>
            <w:rPr>
              <w:rFonts w:eastAsiaTheme="minorEastAsia"/>
              <w:noProof/>
              <w:lang w:eastAsia="fr-FR"/>
            </w:rPr>
          </w:pPr>
          <w:r>
            <w:fldChar w:fldCharType="begin"/>
          </w:r>
          <w:r>
            <w:instrText xml:space="preserve"> TOC \o "1-3" \h \z \u </w:instrText>
          </w:r>
          <w:r>
            <w:fldChar w:fldCharType="separate"/>
          </w:r>
          <w:hyperlink w:anchor="_Toc83781931" w:history="1">
            <w:r w:rsidR="008B321B" w:rsidRPr="00006FF3">
              <w:rPr>
                <w:rStyle w:val="Lienhypertexte"/>
                <w:rFonts w:ascii="Garamond" w:hAnsi="Garamond"/>
                <w:b/>
                <w:bCs/>
                <w:noProof/>
              </w:rPr>
              <w:t>INTRODUCTION</w:t>
            </w:r>
            <w:r w:rsidR="008B321B">
              <w:rPr>
                <w:noProof/>
                <w:webHidden/>
              </w:rPr>
              <w:tab/>
            </w:r>
            <w:r w:rsidR="008B321B">
              <w:rPr>
                <w:noProof/>
                <w:webHidden/>
              </w:rPr>
              <w:fldChar w:fldCharType="begin"/>
            </w:r>
            <w:r w:rsidR="008B321B">
              <w:rPr>
                <w:noProof/>
                <w:webHidden/>
              </w:rPr>
              <w:instrText xml:space="preserve"> PAGEREF _Toc83781931 \h </w:instrText>
            </w:r>
            <w:r w:rsidR="008B321B">
              <w:rPr>
                <w:noProof/>
                <w:webHidden/>
              </w:rPr>
            </w:r>
            <w:r w:rsidR="008B321B">
              <w:rPr>
                <w:noProof/>
                <w:webHidden/>
              </w:rPr>
              <w:fldChar w:fldCharType="separate"/>
            </w:r>
            <w:r w:rsidR="008B321B">
              <w:rPr>
                <w:noProof/>
                <w:webHidden/>
              </w:rPr>
              <w:t>3</w:t>
            </w:r>
            <w:r w:rsidR="008B321B">
              <w:rPr>
                <w:noProof/>
                <w:webHidden/>
              </w:rPr>
              <w:fldChar w:fldCharType="end"/>
            </w:r>
          </w:hyperlink>
        </w:p>
        <w:p w14:paraId="5E07DEDF" w14:textId="4E6089B1" w:rsidR="008B321B" w:rsidRDefault="004F5E81">
          <w:pPr>
            <w:pStyle w:val="TM1"/>
            <w:tabs>
              <w:tab w:val="right" w:leader="dot" w:pos="9060"/>
            </w:tabs>
            <w:rPr>
              <w:rFonts w:eastAsiaTheme="minorEastAsia"/>
              <w:noProof/>
              <w:lang w:eastAsia="fr-FR"/>
            </w:rPr>
          </w:pPr>
          <w:hyperlink w:anchor="_Toc83781932" w:history="1">
            <w:r w:rsidR="008B321B" w:rsidRPr="00006FF3">
              <w:rPr>
                <w:rStyle w:val="Lienhypertexte"/>
                <w:rFonts w:ascii="Garamond" w:hAnsi="Garamond"/>
                <w:b/>
                <w:bCs/>
                <w:noProof/>
              </w:rPr>
              <w:t>METHODOLOGIE</w:t>
            </w:r>
            <w:r w:rsidR="008B321B">
              <w:rPr>
                <w:noProof/>
                <w:webHidden/>
              </w:rPr>
              <w:tab/>
            </w:r>
            <w:r w:rsidR="008B321B">
              <w:rPr>
                <w:noProof/>
                <w:webHidden/>
              </w:rPr>
              <w:fldChar w:fldCharType="begin"/>
            </w:r>
            <w:r w:rsidR="008B321B">
              <w:rPr>
                <w:noProof/>
                <w:webHidden/>
              </w:rPr>
              <w:instrText xml:space="preserve"> PAGEREF _Toc83781932 \h </w:instrText>
            </w:r>
            <w:r w:rsidR="008B321B">
              <w:rPr>
                <w:noProof/>
                <w:webHidden/>
              </w:rPr>
            </w:r>
            <w:r w:rsidR="008B321B">
              <w:rPr>
                <w:noProof/>
                <w:webHidden/>
              </w:rPr>
              <w:fldChar w:fldCharType="separate"/>
            </w:r>
            <w:r w:rsidR="008B321B">
              <w:rPr>
                <w:noProof/>
                <w:webHidden/>
              </w:rPr>
              <w:t>3</w:t>
            </w:r>
            <w:r w:rsidR="008B321B">
              <w:rPr>
                <w:noProof/>
                <w:webHidden/>
              </w:rPr>
              <w:fldChar w:fldCharType="end"/>
            </w:r>
          </w:hyperlink>
        </w:p>
        <w:p w14:paraId="6EFDF99C" w14:textId="7BEAD74C" w:rsidR="008B321B" w:rsidRDefault="004F5E81">
          <w:pPr>
            <w:pStyle w:val="TM1"/>
            <w:tabs>
              <w:tab w:val="right" w:leader="dot" w:pos="9060"/>
            </w:tabs>
            <w:rPr>
              <w:rFonts w:eastAsiaTheme="minorEastAsia"/>
              <w:noProof/>
              <w:lang w:eastAsia="fr-FR"/>
            </w:rPr>
          </w:pPr>
          <w:hyperlink w:anchor="_Toc83781933" w:history="1">
            <w:r w:rsidR="008B321B" w:rsidRPr="00006FF3">
              <w:rPr>
                <w:rStyle w:val="Lienhypertexte"/>
                <w:rFonts w:ascii="Garamond" w:hAnsi="Garamond"/>
                <w:b/>
                <w:bCs/>
                <w:noProof/>
              </w:rPr>
              <w:t>PROFIL DES PERSONNES INTERROGEES</w:t>
            </w:r>
            <w:r w:rsidR="008B321B">
              <w:rPr>
                <w:noProof/>
                <w:webHidden/>
              </w:rPr>
              <w:tab/>
            </w:r>
            <w:r w:rsidR="008B321B">
              <w:rPr>
                <w:noProof/>
                <w:webHidden/>
              </w:rPr>
              <w:fldChar w:fldCharType="begin"/>
            </w:r>
            <w:r w:rsidR="008B321B">
              <w:rPr>
                <w:noProof/>
                <w:webHidden/>
              </w:rPr>
              <w:instrText xml:space="preserve"> PAGEREF _Toc83781933 \h </w:instrText>
            </w:r>
            <w:r w:rsidR="008B321B">
              <w:rPr>
                <w:noProof/>
                <w:webHidden/>
              </w:rPr>
            </w:r>
            <w:r w:rsidR="008B321B">
              <w:rPr>
                <w:noProof/>
                <w:webHidden/>
              </w:rPr>
              <w:fldChar w:fldCharType="separate"/>
            </w:r>
            <w:r w:rsidR="008B321B">
              <w:rPr>
                <w:noProof/>
                <w:webHidden/>
              </w:rPr>
              <w:t>3</w:t>
            </w:r>
            <w:r w:rsidR="008B321B">
              <w:rPr>
                <w:noProof/>
                <w:webHidden/>
              </w:rPr>
              <w:fldChar w:fldCharType="end"/>
            </w:r>
          </w:hyperlink>
        </w:p>
        <w:p w14:paraId="205DC564" w14:textId="48C7FF4C" w:rsidR="008B321B" w:rsidRDefault="004F5E81">
          <w:pPr>
            <w:pStyle w:val="TM1"/>
            <w:tabs>
              <w:tab w:val="right" w:leader="dot" w:pos="9060"/>
            </w:tabs>
            <w:rPr>
              <w:rFonts w:eastAsiaTheme="minorEastAsia"/>
              <w:noProof/>
              <w:lang w:eastAsia="fr-FR"/>
            </w:rPr>
          </w:pPr>
          <w:hyperlink w:anchor="_Toc83781934" w:history="1">
            <w:r w:rsidR="008B321B" w:rsidRPr="00006FF3">
              <w:rPr>
                <w:rStyle w:val="Lienhypertexte"/>
                <w:rFonts w:ascii="Garamond" w:hAnsi="Garamond"/>
                <w:b/>
                <w:bCs/>
                <w:noProof/>
              </w:rPr>
              <w:t>PRINCIPAUX RESULTATS</w:t>
            </w:r>
            <w:r w:rsidR="008B321B">
              <w:rPr>
                <w:noProof/>
                <w:webHidden/>
              </w:rPr>
              <w:tab/>
            </w:r>
            <w:r w:rsidR="008B321B">
              <w:rPr>
                <w:noProof/>
                <w:webHidden/>
              </w:rPr>
              <w:fldChar w:fldCharType="begin"/>
            </w:r>
            <w:r w:rsidR="008B321B">
              <w:rPr>
                <w:noProof/>
                <w:webHidden/>
              </w:rPr>
              <w:instrText xml:space="preserve"> PAGEREF _Toc83781934 \h </w:instrText>
            </w:r>
            <w:r w:rsidR="008B321B">
              <w:rPr>
                <w:noProof/>
                <w:webHidden/>
              </w:rPr>
            </w:r>
            <w:r w:rsidR="008B321B">
              <w:rPr>
                <w:noProof/>
                <w:webHidden/>
              </w:rPr>
              <w:fldChar w:fldCharType="separate"/>
            </w:r>
            <w:r w:rsidR="008B321B">
              <w:rPr>
                <w:noProof/>
                <w:webHidden/>
              </w:rPr>
              <w:t>4</w:t>
            </w:r>
            <w:r w:rsidR="008B321B">
              <w:rPr>
                <w:noProof/>
                <w:webHidden/>
              </w:rPr>
              <w:fldChar w:fldCharType="end"/>
            </w:r>
          </w:hyperlink>
        </w:p>
        <w:p w14:paraId="486A6093" w14:textId="4C260F26" w:rsidR="008B321B" w:rsidRDefault="004F5E81">
          <w:pPr>
            <w:pStyle w:val="TM1"/>
            <w:tabs>
              <w:tab w:val="left" w:pos="440"/>
              <w:tab w:val="right" w:leader="dot" w:pos="9060"/>
            </w:tabs>
            <w:rPr>
              <w:rFonts w:eastAsiaTheme="minorEastAsia"/>
              <w:noProof/>
              <w:lang w:eastAsia="fr-FR"/>
            </w:rPr>
          </w:pPr>
          <w:hyperlink w:anchor="_Toc83781935" w:history="1">
            <w:r w:rsidR="008B321B" w:rsidRPr="00006FF3">
              <w:rPr>
                <w:rStyle w:val="Lienhypertexte"/>
                <w:rFonts w:ascii="Garamond" w:hAnsi="Garamond"/>
                <w:noProof/>
              </w:rPr>
              <w:t>1.</w:t>
            </w:r>
            <w:r w:rsidR="008B321B">
              <w:rPr>
                <w:rFonts w:eastAsiaTheme="minorEastAsia"/>
                <w:noProof/>
                <w:lang w:eastAsia="fr-FR"/>
              </w:rPr>
              <w:tab/>
            </w:r>
            <w:r w:rsidR="008B321B" w:rsidRPr="00006FF3">
              <w:rPr>
                <w:rStyle w:val="Lienhypertexte"/>
                <w:rFonts w:ascii="Garamond" w:hAnsi="Garamond"/>
                <w:noProof/>
              </w:rPr>
              <w:t>Soutien au putsch ?</w:t>
            </w:r>
            <w:r w:rsidR="008B321B">
              <w:rPr>
                <w:noProof/>
                <w:webHidden/>
              </w:rPr>
              <w:tab/>
            </w:r>
            <w:r w:rsidR="008B321B">
              <w:rPr>
                <w:noProof/>
                <w:webHidden/>
              </w:rPr>
              <w:fldChar w:fldCharType="begin"/>
            </w:r>
            <w:r w:rsidR="008B321B">
              <w:rPr>
                <w:noProof/>
                <w:webHidden/>
              </w:rPr>
              <w:instrText xml:space="preserve"> PAGEREF _Toc83781935 \h </w:instrText>
            </w:r>
            <w:r w:rsidR="008B321B">
              <w:rPr>
                <w:noProof/>
                <w:webHidden/>
              </w:rPr>
            </w:r>
            <w:r w:rsidR="008B321B">
              <w:rPr>
                <w:noProof/>
                <w:webHidden/>
              </w:rPr>
              <w:fldChar w:fldCharType="separate"/>
            </w:r>
            <w:r w:rsidR="008B321B">
              <w:rPr>
                <w:noProof/>
                <w:webHidden/>
              </w:rPr>
              <w:t>4</w:t>
            </w:r>
            <w:r w:rsidR="008B321B">
              <w:rPr>
                <w:noProof/>
                <w:webHidden/>
              </w:rPr>
              <w:fldChar w:fldCharType="end"/>
            </w:r>
          </w:hyperlink>
        </w:p>
        <w:p w14:paraId="3407B9AD" w14:textId="03ED38E3" w:rsidR="008B321B" w:rsidRDefault="004F5E81">
          <w:pPr>
            <w:pStyle w:val="TM1"/>
            <w:tabs>
              <w:tab w:val="left" w:pos="440"/>
              <w:tab w:val="right" w:leader="dot" w:pos="9060"/>
            </w:tabs>
            <w:rPr>
              <w:rFonts w:eastAsiaTheme="minorEastAsia"/>
              <w:noProof/>
              <w:lang w:eastAsia="fr-FR"/>
            </w:rPr>
          </w:pPr>
          <w:hyperlink w:anchor="_Toc83781936" w:history="1">
            <w:r w:rsidR="008B321B" w:rsidRPr="00006FF3">
              <w:rPr>
                <w:rStyle w:val="Lienhypertexte"/>
                <w:rFonts w:ascii="Garamond" w:hAnsi="Garamond"/>
                <w:noProof/>
              </w:rPr>
              <w:t>2.</w:t>
            </w:r>
            <w:r w:rsidR="008B321B">
              <w:rPr>
                <w:rFonts w:eastAsiaTheme="minorEastAsia"/>
                <w:noProof/>
                <w:lang w:eastAsia="fr-FR"/>
              </w:rPr>
              <w:tab/>
            </w:r>
            <w:r w:rsidR="008B321B" w:rsidRPr="00006FF3">
              <w:rPr>
                <w:rStyle w:val="Lienhypertexte"/>
                <w:rFonts w:ascii="Garamond" w:hAnsi="Garamond"/>
                <w:noProof/>
              </w:rPr>
              <w:t>Soutien au putsch selon la zone de résidence</w:t>
            </w:r>
            <w:r w:rsidR="008B321B">
              <w:rPr>
                <w:noProof/>
                <w:webHidden/>
              </w:rPr>
              <w:tab/>
            </w:r>
            <w:r w:rsidR="008B321B">
              <w:rPr>
                <w:noProof/>
                <w:webHidden/>
              </w:rPr>
              <w:fldChar w:fldCharType="begin"/>
            </w:r>
            <w:r w:rsidR="008B321B">
              <w:rPr>
                <w:noProof/>
                <w:webHidden/>
              </w:rPr>
              <w:instrText xml:space="preserve"> PAGEREF _Toc83781936 \h </w:instrText>
            </w:r>
            <w:r w:rsidR="008B321B">
              <w:rPr>
                <w:noProof/>
                <w:webHidden/>
              </w:rPr>
            </w:r>
            <w:r w:rsidR="008B321B">
              <w:rPr>
                <w:noProof/>
                <w:webHidden/>
              </w:rPr>
              <w:fldChar w:fldCharType="separate"/>
            </w:r>
            <w:r w:rsidR="008B321B">
              <w:rPr>
                <w:noProof/>
                <w:webHidden/>
              </w:rPr>
              <w:t>5</w:t>
            </w:r>
            <w:r w:rsidR="008B321B">
              <w:rPr>
                <w:noProof/>
                <w:webHidden/>
              </w:rPr>
              <w:fldChar w:fldCharType="end"/>
            </w:r>
          </w:hyperlink>
        </w:p>
        <w:p w14:paraId="276AE642" w14:textId="27B9CFA3" w:rsidR="008B321B" w:rsidRDefault="004F5E81">
          <w:pPr>
            <w:pStyle w:val="TM1"/>
            <w:tabs>
              <w:tab w:val="left" w:pos="440"/>
              <w:tab w:val="right" w:leader="dot" w:pos="9060"/>
            </w:tabs>
            <w:rPr>
              <w:rFonts w:eastAsiaTheme="minorEastAsia"/>
              <w:noProof/>
              <w:lang w:eastAsia="fr-FR"/>
            </w:rPr>
          </w:pPr>
          <w:hyperlink w:anchor="_Toc83781937" w:history="1">
            <w:r w:rsidR="008B321B" w:rsidRPr="00006FF3">
              <w:rPr>
                <w:rStyle w:val="Lienhypertexte"/>
                <w:rFonts w:ascii="Garamond" w:hAnsi="Garamond"/>
                <w:noProof/>
              </w:rPr>
              <w:t>3.</w:t>
            </w:r>
            <w:r w:rsidR="008B321B">
              <w:rPr>
                <w:rFonts w:eastAsiaTheme="minorEastAsia"/>
                <w:noProof/>
                <w:lang w:eastAsia="fr-FR"/>
              </w:rPr>
              <w:tab/>
            </w:r>
            <w:r w:rsidR="008B321B" w:rsidRPr="00006FF3">
              <w:rPr>
                <w:rStyle w:val="Lienhypertexte"/>
                <w:rFonts w:ascii="Garamond" w:hAnsi="Garamond"/>
                <w:noProof/>
              </w:rPr>
              <w:t>Avez-vous confiance au CNRD ?</w:t>
            </w:r>
            <w:r w:rsidR="008B321B">
              <w:rPr>
                <w:noProof/>
                <w:webHidden/>
              </w:rPr>
              <w:tab/>
            </w:r>
            <w:r w:rsidR="008B321B">
              <w:rPr>
                <w:noProof/>
                <w:webHidden/>
              </w:rPr>
              <w:fldChar w:fldCharType="begin"/>
            </w:r>
            <w:r w:rsidR="008B321B">
              <w:rPr>
                <w:noProof/>
                <w:webHidden/>
              </w:rPr>
              <w:instrText xml:space="preserve"> PAGEREF _Toc83781937 \h </w:instrText>
            </w:r>
            <w:r w:rsidR="008B321B">
              <w:rPr>
                <w:noProof/>
                <w:webHidden/>
              </w:rPr>
            </w:r>
            <w:r w:rsidR="008B321B">
              <w:rPr>
                <w:noProof/>
                <w:webHidden/>
              </w:rPr>
              <w:fldChar w:fldCharType="separate"/>
            </w:r>
            <w:r w:rsidR="008B321B">
              <w:rPr>
                <w:noProof/>
                <w:webHidden/>
              </w:rPr>
              <w:t>6</w:t>
            </w:r>
            <w:r w:rsidR="008B321B">
              <w:rPr>
                <w:noProof/>
                <w:webHidden/>
              </w:rPr>
              <w:fldChar w:fldCharType="end"/>
            </w:r>
          </w:hyperlink>
        </w:p>
        <w:p w14:paraId="4B104599" w14:textId="794EB50D" w:rsidR="008B321B" w:rsidRDefault="004F5E81">
          <w:pPr>
            <w:pStyle w:val="TM1"/>
            <w:tabs>
              <w:tab w:val="left" w:pos="440"/>
              <w:tab w:val="right" w:leader="dot" w:pos="9060"/>
            </w:tabs>
            <w:rPr>
              <w:rFonts w:eastAsiaTheme="minorEastAsia"/>
              <w:noProof/>
              <w:lang w:eastAsia="fr-FR"/>
            </w:rPr>
          </w:pPr>
          <w:hyperlink w:anchor="_Toc83781938" w:history="1">
            <w:r w:rsidR="008B321B" w:rsidRPr="00006FF3">
              <w:rPr>
                <w:rStyle w:val="Lienhypertexte"/>
                <w:rFonts w:ascii="Garamond" w:hAnsi="Garamond"/>
                <w:noProof/>
              </w:rPr>
              <w:t>4.</w:t>
            </w:r>
            <w:r w:rsidR="008B321B">
              <w:rPr>
                <w:rFonts w:eastAsiaTheme="minorEastAsia"/>
                <w:noProof/>
                <w:lang w:eastAsia="fr-FR"/>
              </w:rPr>
              <w:tab/>
            </w:r>
            <w:r w:rsidR="008B321B" w:rsidRPr="00006FF3">
              <w:rPr>
                <w:rStyle w:val="Lienhypertexte"/>
                <w:rFonts w:ascii="Garamond" w:hAnsi="Garamond"/>
                <w:noProof/>
              </w:rPr>
              <w:t>La confiance au CNRD selon la zone de résidence ?</w:t>
            </w:r>
            <w:r w:rsidR="008B321B">
              <w:rPr>
                <w:noProof/>
                <w:webHidden/>
              </w:rPr>
              <w:tab/>
            </w:r>
            <w:r w:rsidR="008B321B">
              <w:rPr>
                <w:noProof/>
                <w:webHidden/>
              </w:rPr>
              <w:fldChar w:fldCharType="begin"/>
            </w:r>
            <w:r w:rsidR="008B321B">
              <w:rPr>
                <w:noProof/>
                <w:webHidden/>
              </w:rPr>
              <w:instrText xml:space="preserve"> PAGEREF _Toc83781938 \h </w:instrText>
            </w:r>
            <w:r w:rsidR="008B321B">
              <w:rPr>
                <w:noProof/>
                <w:webHidden/>
              </w:rPr>
            </w:r>
            <w:r w:rsidR="008B321B">
              <w:rPr>
                <w:noProof/>
                <w:webHidden/>
              </w:rPr>
              <w:fldChar w:fldCharType="separate"/>
            </w:r>
            <w:r w:rsidR="008B321B">
              <w:rPr>
                <w:noProof/>
                <w:webHidden/>
              </w:rPr>
              <w:t>6</w:t>
            </w:r>
            <w:r w:rsidR="008B321B">
              <w:rPr>
                <w:noProof/>
                <w:webHidden/>
              </w:rPr>
              <w:fldChar w:fldCharType="end"/>
            </w:r>
          </w:hyperlink>
        </w:p>
        <w:p w14:paraId="4A4ACD55" w14:textId="0A092DDB" w:rsidR="008B321B" w:rsidRDefault="004F5E81">
          <w:pPr>
            <w:pStyle w:val="TM1"/>
            <w:tabs>
              <w:tab w:val="left" w:pos="440"/>
              <w:tab w:val="right" w:leader="dot" w:pos="9060"/>
            </w:tabs>
            <w:rPr>
              <w:rFonts w:eastAsiaTheme="minorEastAsia"/>
              <w:noProof/>
              <w:lang w:eastAsia="fr-FR"/>
            </w:rPr>
          </w:pPr>
          <w:hyperlink w:anchor="_Toc83781939" w:history="1">
            <w:r w:rsidR="008B321B" w:rsidRPr="00006FF3">
              <w:rPr>
                <w:rStyle w:val="Lienhypertexte"/>
                <w:rFonts w:ascii="Garamond" w:hAnsi="Garamond"/>
                <w:noProof/>
              </w:rPr>
              <w:t>5.</w:t>
            </w:r>
            <w:r w:rsidR="008B321B">
              <w:rPr>
                <w:rFonts w:eastAsiaTheme="minorEastAsia"/>
                <w:noProof/>
                <w:lang w:eastAsia="fr-FR"/>
              </w:rPr>
              <w:tab/>
            </w:r>
            <w:r w:rsidR="008B321B" w:rsidRPr="00006FF3">
              <w:rPr>
                <w:rStyle w:val="Lienhypertexte"/>
                <w:rFonts w:ascii="Garamond" w:hAnsi="Garamond"/>
                <w:noProof/>
              </w:rPr>
              <w:t>Quelle devrait être selon vous la durée de la transition ?</w:t>
            </w:r>
            <w:r w:rsidR="008B321B">
              <w:rPr>
                <w:noProof/>
                <w:webHidden/>
              </w:rPr>
              <w:tab/>
            </w:r>
            <w:r w:rsidR="008B321B">
              <w:rPr>
                <w:noProof/>
                <w:webHidden/>
              </w:rPr>
              <w:fldChar w:fldCharType="begin"/>
            </w:r>
            <w:r w:rsidR="008B321B">
              <w:rPr>
                <w:noProof/>
                <w:webHidden/>
              </w:rPr>
              <w:instrText xml:space="preserve"> PAGEREF _Toc83781939 \h </w:instrText>
            </w:r>
            <w:r w:rsidR="008B321B">
              <w:rPr>
                <w:noProof/>
                <w:webHidden/>
              </w:rPr>
            </w:r>
            <w:r w:rsidR="008B321B">
              <w:rPr>
                <w:noProof/>
                <w:webHidden/>
              </w:rPr>
              <w:fldChar w:fldCharType="separate"/>
            </w:r>
            <w:r w:rsidR="008B321B">
              <w:rPr>
                <w:noProof/>
                <w:webHidden/>
              </w:rPr>
              <w:t>7</w:t>
            </w:r>
            <w:r w:rsidR="008B321B">
              <w:rPr>
                <w:noProof/>
                <w:webHidden/>
              </w:rPr>
              <w:fldChar w:fldCharType="end"/>
            </w:r>
          </w:hyperlink>
        </w:p>
        <w:p w14:paraId="32B40C0C" w14:textId="52249D03" w:rsidR="008B321B" w:rsidRDefault="004F5E81">
          <w:pPr>
            <w:pStyle w:val="TM1"/>
            <w:tabs>
              <w:tab w:val="left" w:pos="440"/>
              <w:tab w:val="right" w:leader="dot" w:pos="9060"/>
            </w:tabs>
            <w:rPr>
              <w:rFonts w:eastAsiaTheme="minorEastAsia"/>
              <w:noProof/>
              <w:lang w:eastAsia="fr-FR"/>
            </w:rPr>
          </w:pPr>
          <w:hyperlink w:anchor="_Toc83781940" w:history="1">
            <w:r w:rsidR="008B321B" w:rsidRPr="00006FF3">
              <w:rPr>
                <w:rStyle w:val="Lienhypertexte"/>
                <w:rFonts w:ascii="Garamond" w:hAnsi="Garamond"/>
                <w:noProof/>
              </w:rPr>
              <w:t>6.</w:t>
            </w:r>
            <w:r w:rsidR="008B321B">
              <w:rPr>
                <w:rFonts w:eastAsiaTheme="minorEastAsia"/>
                <w:noProof/>
                <w:lang w:eastAsia="fr-FR"/>
              </w:rPr>
              <w:tab/>
            </w:r>
            <w:r w:rsidR="008B321B" w:rsidRPr="00006FF3">
              <w:rPr>
                <w:rStyle w:val="Lienhypertexte"/>
                <w:rFonts w:ascii="Garamond" w:hAnsi="Garamond"/>
                <w:noProof/>
              </w:rPr>
              <w:t>La durée de la transition selon la zone de résidence ?</w:t>
            </w:r>
            <w:r w:rsidR="008B321B">
              <w:rPr>
                <w:noProof/>
                <w:webHidden/>
              </w:rPr>
              <w:tab/>
            </w:r>
            <w:r w:rsidR="008B321B">
              <w:rPr>
                <w:noProof/>
                <w:webHidden/>
              </w:rPr>
              <w:fldChar w:fldCharType="begin"/>
            </w:r>
            <w:r w:rsidR="008B321B">
              <w:rPr>
                <w:noProof/>
                <w:webHidden/>
              </w:rPr>
              <w:instrText xml:space="preserve"> PAGEREF _Toc83781940 \h </w:instrText>
            </w:r>
            <w:r w:rsidR="008B321B">
              <w:rPr>
                <w:noProof/>
                <w:webHidden/>
              </w:rPr>
            </w:r>
            <w:r w:rsidR="008B321B">
              <w:rPr>
                <w:noProof/>
                <w:webHidden/>
              </w:rPr>
              <w:fldChar w:fldCharType="separate"/>
            </w:r>
            <w:r w:rsidR="008B321B">
              <w:rPr>
                <w:noProof/>
                <w:webHidden/>
              </w:rPr>
              <w:t>8</w:t>
            </w:r>
            <w:r w:rsidR="008B321B">
              <w:rPr>
                <w:noProof/>
                <w:webHidden/>
              </w:rPr>
              <w:fldChar w:fldCharType="end"/>
            </w:r>
          </w:hyperlink>
        </w:p>
        <w:p w14:paraId="403EFDDA" w14:textId="424B0F9E" w:rsidR="008B321B" w:rsidRDefault="004F5E81">
          <w:pPr>
            <w:pStyle w:val="TM1"/>
            <w:tabs>
              <w:tab w:val="left" w:pos="440"/>
              <w:tab w:val="right" w:leader="dot" w:pos="9060"/>
            </w:tabs>
            <w:rPr>
              <w:rFonts w:eastAsiaTheme="minorEastAsia"/>
              <w:noProof/>
              <w:lang w:eastAsia="fr-FR"/>
            </w:rPr>
          </w:pPr>
          <w:hyperlink w:anchor="_Toc83781941" w:history="1">
            <w:r w:rsidR="008B321B" w:rsidRPr="00006FF3">
              <w:rPr>
                <w:rStyle w:val="Lienhypertexte"/>
                <w:rFonts w:ascii="Garamond" w:hAnsi="Garamond"/>
                <w:noProof/>
              </w:rPr>
              <w:t>7.</w:t>
            </w:r>
            <w:r w:rsidR="008B321B">
              <w:rPr>
                <w:rFonts w:eastAsiaTheme="minorEastAsia"/>
                <w:noProof/>
                <w:lang w:eastAsia="fr-FR"/>
              </w:rPr>
              <w:tab/>
            </w:r>
            <w:r w:rsidR="008B321B" w:rsidRPr="00006FF3">
              <w:rPr>
                <w:rStyle w:val="Lienhypertexte"/>
                <w:rFonts w:ascii="Garamond" w:hAnsi="Garamond"/>
                <w:noProof/>
              </w:rPr>
              <w:t>Pour vous, quel profil devrait mieux conduire le Gouvernement de la transition ?</w:t>
            </w:r>
            <w:r w:rsidR="008B321B">
              <w:rPr>
                <w:noProof/>
                <w:webHidden/>
              </w:rPr>
              <w:tab/>
            </w:r>
            <w:r w:rsidR="008B321B">
              <w:rPr>
                <w:noProof/>
                <w:webHidden/>
              </w:rPr>
              <w:fldChar w:fldCharType="begin"/>
            </w:r>
            <w:r w:rsidR="008B321B">
              <w:rPr>
                <w:noProof/>
                <w:webHidden/>
              </w:rPr>
              <w:instrText xml:space="preserve"> PAGEREF _Toc83781941 \h </w:instrText>
            </w:r>
            <w:r w:rsidR="008B321B">
              <w:rPr>
                <w:noProof/>
                <w:webHidden/>
              </w:rPr>
            </w:r>
            <w:r w:rsidR="008B321B">
              <w:rPr>
                <w:noProof/>
                <w:webHidden/>
              </w:rPr>
              <w:fldChar w:fldCharType="separate"/>
            </w:r>
            <w:r w:rsidR="008B321B">
              <w:rPr>
                <w:noProof/>
                <w:webHidden/>
              </w:rPr>
              <w:t>8</w:t>
            </w:r>
            <w:r w:rsidR="008B321B">
              <w:rPr>
                <w:noProof/>
                <w:webHidden/>
              </w:rPr>
              <w:fldChar w:fldCharType="end"/>
            </w:r>
          </w:hyperlink>
        </w:p>
        <w:p w14:paraId="4B9D77B3" w14:textId="6902B850" w:rsidR="008B321B" w:rsidRDefault="004F5E81">
          <w:pPr>
            <w:pStyle w:val="TM1"/>
            <w:tabs>
              <w:tab w:val="left" w:pos="440"/>
              <w:tab w:val="right" w:leader="dot" w:pos="9060"/>
            </w:tabs>
            <w:rPr>
              <w:rFonts w:eastAsiaTheme="minorEastAsia"/>
              <w:noProof/>
              <w:lang w:eastAsia="fr-FR"/>
            </w:rPr>
          </w:pPr>
          <w:hyperlink w:anchor="_Toc83781942" w:history="1">
            <w:r w:rsidR="008B321B" w:rsidRPr="00006FF3">
              <w:rPr>
                <w:rStyle w:val="Lienhypertexte"/>
                <w:rFonts w:ascii="Garamond" w:hAnsi="Garamond"/>
                <w:noProof/>
              </w:rPr>
              <w:t>8.</w:t>
            </w:r>
            <w:r w:rsidR="008B321B">
              <w:rPr>
                <w:rFonts w:eastAsiaTheme="minorEastAsia"/>
                <w:noProof/>
                <w:lang w:eastAsia="fr-FR"/>
              </w:rPr>
              <w:tab/>
            </w:r>
            <w:r w:rsidR="008B321B" w:rsidRPr="00006FF3">
              <w:rPr>
                <w:rStyle w:val="Lienhypertexte"/>
                <w:rFonts w:ascii="Garamond" w:hAnsi="Garamond"/>
                <w:noProof/>
              </w:rPr>
              <w:t>A quoi devrait servir le cadre de concertation ?</w:t>
            </w:r>
            <w:r w:rsidR="008B321B">
              <w:rPr>
                <w:noProof/>
                <w:webHidden/>
              </w:rPr>
              <w:tab/>
            </w:r>
            <w:r w:rsidR="008B321B">
              <w:rPr>
                <w:noProof/>
                <w:webHidden/>
              </w:rPr>
              <w:fldChar w:fldCharType="begin"/>
            </w:r>
            <w:r w:rsidR="008B321B">
              <w:rPr>
                <w:noProof/>
                <w:webHidden/>
              </w:rPr>
              <w:instrText xml:space="preserve"> PAGEREF _Toc83781942 \h </w:instrText>
            </w:r>
            <w:r w:rsidR="008B321B">
              <w:rPr>
                <w:noProof/>
                <w:webHidden/>
              </w:rPr>
            </w:r>
            <w:r w:rsidR="008B321B">
              <w:rPr>
                <w:noProof/>
                <w:webHidden/>
              </w:rPr>
              <w:fldChar w:fldCharType="separate"/>
            </w:r>
            <w:r w:rsidR="008B321B">
              <w:rPr>
                <w:noProof/>
                <w:webHidden/>
              </w:rPr>
              <w:t>9</w:t>
            </w:r>
            <w:r w:rsidR="008B321B">
              <w:rPr>
                <w:noProof/>
                <w:webHidden/>
              </w:rPr>
              <w:fldChar w:fldCharType="end"/>
            </w:r>
          </w:hyperlink>
        </w:p>
        <w:p w14:paraId="7305F041" w14:textId="328E90A4" w:rsidR="008B321B" w:rsidRDefault="004F5E81">
          <w:pPr>
            <w:pStyle w:val="TM1"/>
            <w:tabs>
              <w:tab w:val="left" w:pos="440"/>
              <w:tab w:val="right" w:leader="dot" w:pos="9060"/>
            </w:tabs>
            <w:rPr>
              <w:rFonts w:eastAsiaTheme="minorEastAsia"/>
              <w:noProof/>
              <w:lang w:eastAsia="fr-FR"/>
            </w:rPr>
          </w:pPr>
          <w:hyperlink w:anchor="_Toc83781943" w:history="1">
            <w:r w:rsidR="008B321B" w:rsidRPr="00006FF3">
              <w:rPr>
                <w:rStyle w:val="Lienhypertexte"/>
                <w:rFonts w:ascii="Garamond" w:hAnsi="Garamond"/>
                <w:noProof/>
              </w:rPr>
              <w:t>9.</w:t>
            </w:r>
            <w:r w:rsidR="008B321B">
              <w:rPr>
                <w:rFonts w:eastAsiaTheme="minorEastAsia"/>
                <w:noProof/>
                <w:lang w:eastAsia="fr-FR"/>
              </w:rPr>
              <w:tab/>
            </w:r>
            <w:r w:rsidR="008B321B" w:rsidRPr="00006FF3">
              <w:rPr>
                <w:rStyle w:val="Lienhypertexte"/>
                <w:rFonts w:ascii="Garamond" w:hAnsi="Garamond"/>
                <w:noProof/>
              </w:rPr>
              <w:t>Détail méthodologique</w:t>
            </w:r>
            <w:r w:rsidR="008B321B">
              <w:rPr>
                <w:noProof/>
                <w:webHidden/>
              </w:rPr>
              <w:tab/>
            </w:r>
            <w:r w:rsidR="008B321B">
              <w:rPr>
                <w:noProof/>
                <w:webHidden/>
              </w:rPr>
              <w:fldChar w:fldCharType="begin"/>
            </w:r>
            <w:r w:rsidR="008B321B">
              <w:rPr>
                <w:noProof/>
                <w:webHidden/>
              </w:rPr>
              <w:instrText xml:space="preserve"> PAGEREF _Toc83781943 \h </w:instrText>
            </w:r>
            <w:r w:rsidR="008B321B">
              <w:rPr>
                <w:noProof/>
                <w:webHidden/>
              </w:rPr>
            </w:r>
            <w:r w:rsidR="008B321B">
              <w:rPr>
                <w:noProof/>
                <w:webHidden/>
              </w:rPr>
              <w:fldChar w:fldCharType="separate"/>
            </w:r>
            <w:r w:rsidR="008B321B">
              <w:rPr>
                <w:noProof/>
                <w:webHidden/>
              </w:rPr>
              <w:t>10</w:t>
            </w:r>
            <w:r w:rsidR="008B321B">
              <w:rPr>
                <w:noProof/>
                <w:webHidden/>
              </w:rPr>
              <w:fldChar w:fldCharType="end"/>
            </w:r>
          </w:hyperlink>
        </w:p>
        <w:p w14:paraId="45DEF2D6" w14:textId="26759AD9" w:rsidR="008B321B" w:rsidRDefault="004F5E81">
          <w:pPr>
            <w:pStyle w:val="TM1"/>
            <w:tabs>
              <w:tab w:val="left" w:pos="660"/>
              <w:tab w:val="right" w:leader="dot" w:pos="9060"/>
            </w:tabs>
            <w:rPr>
              <w:rFonts w:eastAsiaTheme="minorEastAsia"/>
              <w:noProof/>
              <w:lang w:eastAsia="fr-FR"/>
            </w:rPr>
          </w:pPr>
          <w:hyperlink w:anchor="_Toc83781944" w:history="1">
            <w:r w:rsidR="008B321B" w:rsidRPr="00006FF3">
              <w:rPr>
                <w:rStyle w:val="Lienhypertexte"/>
                <w:rFonts w:ascii="Garamond" w:hAnsi="Garamond"/>
                <w:noProof/>
              </w:rPr>
              <w:t>10.</w:t>
            </w:r>
            <w:r w:rsidR="008B321B">
              <w:rPr>
                <w:rFonts w:eastAsiaTheme="minorEastAsia"/>
                <w:noProof/>
                <w:lang w:eastAsia="fr-FR"/>
              </w:rPr>
              <w:tab/>
            </w:r>
            <w:r w:rsidR="008B321B" w:rsidRPr="00006FF3">
              <w:rPr>
                <w:rStyle w:val="Lienhypertexte"/>
                <w:rFonts w:ascii="Garamond" w:hAnsi="Garamond"/>
                <w:noProof/>
              </w:rPr>
              <w:t>Note méthodologique :</w:t>
            </w:r>
            <w:r w:rsidR="008B321B">
              <w:rPr>
                <w:noProof/>
                <w:webHidden/>
              </w:rPr>
              <w:tab/>
            </w:r>
            <w:r w:rsidR="008B321B">
              <w:rPr>
                <w:noProof/>
                <w:webHidden/>
              </w:rPr>
              <w:fldChar w:fldCharType="begin"/>
            </w:r>
            <w:r w:rsidR="008B321B">
              <w:rPr>
                <w:noProof/>
                <w:webHidden/>
              </w:rPr>
              <w:instrText xml:space="preserve"> PAGEREF _Toc83781944 \h </w:instrText>
            </w:r>
            <w:r w:rsidR="008B321B">
              <w:rPr>
                <w:noProof/>
                <w:webHidden/>
              </w:rPr>
            </w:r>
            <w:r w:rsidR="008B321B">
              <w:rPr>
                <w:noProof/>
                <w:webHidden/>
              </w:rPr>
              <w:fldChar w:fldCharType="separate"/>
            </w:r>
            <w:r w:rsidR="008B321B">
              <w:rPr>
                <w:noProof/>
                <w:webHidden/>
              </w:rPr>
              <w:t>11</w:t>
            </w:r>
            <w:r w:rsidR="008B321B">
              <w:rPr>
                <w:noProof/>
                <w:webHidden/>
              </w:rPr>
              <w:fldChar w:fldCharType="end"/>
            </w:r>
          </w:hyperlink>
        </w:p>
        <w:p w14:paraId="1E85E2DD" w14:textId="45A1581A" w:rsidR="00077C01" w:rsidRDefault="00077C01">
          <w:r>
            <w:rPr>
              <w:b/>
              <w:bCs/>
            </w:rPr>
            <w:fldChar w:fldCharType="end"/>
          </w:r>
        </w:p>
      </w:sdtContent>
    </w:sdt>
    <w:p w14:paraId="115CEDB6" w14:textId="77777777" w:rsidR="0003713F" w:rsidRDefault="0003713F" w:rsidP="000F6685">
      <w:pPr>
        <w:jc w:val="both"/>
        <w:rPr>
          <w:rFonts w:ascii="Garamond" w:eastAsia="Times New Roman" w:hAnsi="Garamond" w:cs="Arial"/>
          <w:color w:val="222222"/>
          <w:sz w:val="24"/>
          <w:szCs w:val="24"/>
        </w:rPr>
      </w:pPr>
    </w:p>
    <w:p w14:paraId="35182626" w14:textId="77777777" w:rsidR="0003713F" w:rsidRDefault="0003713F" w:rsidP="000F6685">
      <w:pPr>
        <w:jc w:val="both"/>
        <w:rPr>
          <w:rFonts w:ascii="Garamond" w:eastAsia="Times New Roman" w:hAnsi="Garamond" w:cs="Arial"/>
          <w:color w:val="222222"/>
          <w:sz w:val="24"/>
          <w:szCs w:val="24"/>
        </w:rPr>
      </w:pPr>
    </w:p>
    <w:p w14:paraId="7A7C6122" w14:textId="5E8736D5" w:rsidR="0003713F" w:rsidRDefault="0003713F" w:rsidP="000F6685">
      <w:pPr>
        <w:jc w:val="both"/>
        <w:rPr>
          <w:rFonts w:ascii="Garamond" w:eastAsia="Times New Roman" w:hAnsi="Garamond" w:cs="Arial"/>
          <w:color w:val="222222"/>
          <w:sz w:val="24"/>
          <w:szCs w:val="24"/>
        </w:rPr>
      </w:pPr>
    </w:p>
    <w:p w14:paraId="044F7461" w14:textId="4CB1E356" w:rsidR="002D198D" w:rsidRDefault="002D198D" w:rsidP="000F6685">
      <w:pPr>
        <w:jc w:val="both"/>
        <w:rPr>
          <w:rFonts w:ascii="Garamond" w:eastAsia="Times New Roman" w:hAnsi="Garamond" w:cs="Arial"/>
          <w:color w:val="222222"/>
          <w:sz w:val="24"/>
          <w:szCs w:val="24"/>
        </w:rPr>
      </w:pPr>
    </w:p>
    <w:p w14:paraId="5F6B2B03" w14:textId="4127DC1C" w:rsidR="002D198D" w:rsidRDefault="002D198D" w:rsidP="000F6685">
      <w:pPr>
        <w:jc w:val="both"/>
        <w:rPr>
          <w:rFonts w:ascii="Garamond" w:eastAsia="Times New Roman" w:hAnsi="Garamond" w:cs="Arial"/>
          <w:color w:val="222222"/>
          <w:sz w:val="24"/>
          <w:szCs w:val="24"/>
        </w:rPr>
      </w:pPr>
    </w:p>
    <w:p w14:paraId="3133F012" w14:textId="68AB4D34" w:rsidR="002D198D" w:rsidRDefault="002D198D" w:rsidP="000F6685">
      <w:pPr>
        <w:jc w:val="both"/>
        <w:rPr>
          <w:rFonts w:ascii="Garamond" w:eastAsia="Times New Roman" w:hAnsi="Garamond" w:cs="Arial"/>
          <w:color w:val="222222"/>
          <w:sz w:val="24"/>
          <w:szCs w:val="24"/>
        </w:rPr>
      </w:pPr>
    </w:p>
    <w:p w14:paraId="0EBDBD5A" w14:textId="304FDCD7" w:rsidR="002D198D" w:rsidRDefault="002D198D" w:rsidP="000F6685">
      <w:pPr>
        <w:jc w:val="both"/>
        <w:rPr>
          <w:rFonts w:ascii="Garamond" w:eastAsia="Times New Roman" w:hAnsi="Garamond" w:cs="Arial"/>
          <w:color w:val="222222"/>
          <w:sz w:val="24"/>
          <w:szCs w:val="24"/>
        </w:rPr>
      </w:pPr>
    </w:p>
    <w:p w14:paraId="02D7EA51" w14:textId="738946AA" w:rsidR="002D198D" w:rsidRDefault="002D198D" w:rsidP="000F6685">
      <w:pPr>
        <w:jc w:val="both"/>
        <w:rPr>
          <w:rFonts w:ascii="Garamond" w:eastAsia="Times New Roman" w:hAnsi="Garamond" w:cs="Arial"/>
          <w:color w:val="222222"/>
          <w:sz w:val="24"/>
          <w:szCs w:val="24"/>
        </w:rPr>
      </w:pPr>
    </w:p>
    <w:p w14:paraId="7468DFF1" w14:textId="7ADEFEB8" w:rsidR="002D198D" w:rsidRDefault="002D198D" w:rsidP="000F6685">
      <w:pPr>
        <w:jc w:val="both"/>
        <w:rPr>
          <w:rFonts w:ascii="Garamond" w:eastAsia="Times New Roman" w:hAnsi="Garamond" w:cs="Arial"/>
          <w:color w:val="222222"/>
          <w:sz w:val="24"/>
          <w:szCs w:val="24"/>
        </w:rPr>
      </w:pPr>
    </w:p>
    <w:p w14:paraId="09B871E0" w14:textId="12A8DD62" w:rsidR="00E7182F" w:rsidRDefault="00E7182F" w:rsidP="000F6685">
      <w:pPr>
        <w:jc w:val="both"/>
        <w:rPr>
          <w:rFonts w:ascii="Garamond" w:eastAsia="Times New Roman" w:hAnsi="Garamond" w:cs="Arial"/>
          <w:color w:val="222222"/>
          <w:sz w:val="24"/>
          <w:szCs w:val="24"/>
        </w:rPr>
      </w:pPr>
    </w:p>
    <w:p w14:paraId="7341B5F7" w14:textId="3AEEBBDE" w:rsidR="004A1DB3" w:rsidRDefault="004A1DB3" w:rsidP="000F6685">
      <w:pPr>
        <w:jc w:val="both"/>
        <w:rPr>
          <w:rFonts w:ascii="Garamond" w:eastAsia="Times New Roman" w:hAnsi="Garamond" w:cs="Arial"/>
          <w:color w:val="222222"/>
          <w:sz w:val="24"/>
          <w:szCs w:val="24"/>
        </w:rPr>
      </w:pPr>
    </w:p>
    <w:p w14:paraId="6987B3E9" w14:textId="6A938497" w:rsidR="009A35D2" w:rsidRDefault="009A35D2" w:rsidP="00077C01">
      <w:pPr>
        <w:pStyle w:val="Titre1"/>
        <w:rPr>
          <w:rFonts w:ascii="Garamond" w:eastAsia="Times New Roman" w:hAnsi="Garamond" w:cs="Arial"/>
          <w:color w:val="222222"/>
          <w:sz w:val="24"/>
          <w:szCs w:val="24"/>
        </w:rPr>
      </w:pPr>
    </w:p>
    <w:p w14:paraId="385275BD" w14:textId="4E7BA82E" w:rsidR="008B321B" w:rsidRDefault="008B321B" w:rsidP="008B321B"/>
    <w:p w14:paraId="147960DB" w14:textId="62BA54EA" w:rsidR="008B321B" w:rsidRDefault="008B321B" w:rsidP="008B321B"/>
    <w:p w14:paraId="215873CB" w14:textId="595F03F8" w:rsidR="00570E3F" w:rsidRDefault="00570E3F" w:rsidP="008B321B"/>
    <w:p w14:paraId="2D28170A" w14:textId="77777777" w:rsidR="00570E3F" w:rsidRPr="00570E3F" w:rsidRDefault="00570E3F" w:rsidP="008B321B">
      <w:pPr>
        <w:rPr>
          <w:sz w:val="8"/>
        </w:rPr>
      </w:pPr>
    </w:p>
    <w:p w14:paraId="77216BD2" w14:textId="1B216F39" w:rsidR="00077C01" w:rsidRDefault="00077C01" w:rsidP="009A35D2">
      <w:pPr>
        <w:pStyle w:val="Titre1"/>
        <w:rPr>
          <w:rFonts w:ascii="Garamond" w:hAnsi="Garamond"/>
          <w:b/>
          <w:bCs/>
          <w:sz w:val="24"/>
          <w:szCs w:val="24"/>
        </w:rPr>
      </w:pPr>
      <w:bookmarkStart w:id="0" w:name="_Toc83781931"/>
      <w:r w:rsidRPr="00077C01">
        <w:rPr>
          <w:rFonts w:ascii="Garamond" w:hAnsi="Garamond"/>
          <w:b/>
          <w:bCs/>
          <w:sz w:val="24"/>
          <w:szCs w:val="24"/>
        </w:rPr>
        <w:t>INTRODUCTION</w:t>
      </w:r>
      <w:bookmarkEnd w:id="0"/>
    </w:p>
    <w:p w14:paraId="42F41717" w14:textId="77777777" w:rsidR="00716119" w:rsidRPr="008B321B" w:rsidRDefault="00716119" w:rsidP="00716119">
      <w:pPr>
        <w:rPr>
          <w:sz w:val="2"/>
        </w:rPr>
      </w:pPr>
    </w:p>
    <w:p w14:paraId="65FF764F" w14:textId="076AABCD" w:rsidR="00231AD0" w:rsidRDefault="00716119" w:rsidP="00231AD0">
      <w:pPr>
        <w:jc w:val="both"/>
        <w:rPr>
          <w:rFonts w:ascii="Garamond" w:eastAsia="Times New Roman" w:hAnsi="Garamond" w:cs="Arial"/>
          <w:color w:val="222222"/>
          <w:sz w:val="24"/>
          <w:szCs w:val="24"/>
        </w:rPr>
      </w:pPr>
      <w:r w:rsidRPr="00716119">
        <w:rPr>
          <w:rFonts w:ascii="Garamond" w:eastAsia="Times New Roman" w:hAnsi="Garamond" w:cs="Arial"/>
          <w:color w:val="222222"/>
          <w:sz w:val="24"/>
          <w:szCs w:val="24"/>
        </w:rPr>
        <w:t>Depuis la matinée du 05 septembre 2021, la Guinée vit une nouvelle ère avec l’avènement des militaires au pouvoir pour la troisième fois de son histoire</w:t>
      </w:r>
      <w:r>
        <w:rPr>
          <w:rFonts w:ascii="Garamond" w:eastAsia="Times New Roman" w:hAnsi="Garamond" w:cs="Arial"/>
          <w:color w:val="222222"/>
          <w:sz w:val="24"/>
          <w:szCs w:val="24"/>
        </w:rPr>
        <w:t>. Ce coup d’Etat perpétré par les unités des forces spéciales</w:t>
      </w:r>
      <w:r w:rsidR="00231AD0">
        <w:rPr>
          <w:rFonts w:ascii="Garamond" w:eastAsia="Times New Roman" w:hAnsi="Garamond" w:cs="Arial"/>
          <w:color w:val="222222"/>
          <w:sz w:val="24"/>
          <w:szCs w:val="24"/>
        </w:rPr>
        <w:t>, se muant en Comité</w:t>
      </w:r>
      <w:r>
        <w:rPr>
          <w:rFonts w:ascii="Garamond" w:eastAsia="Times New Roman" w:hAnsi="Garamond" w:cs="Arial"/>
          <w:color w:val="222222"/>
          <w:sz w:val="24"/>
          <w:szCs w:val="24"/>
        </w:rPr>
        <w:t xml:space="preserve"> </w:t>
      </w:r>
      <w:r w:rsidR="00231AD0">
        <w:rPr>
          <w:rFonts w:ascii="Garamond" w:eastAsia="Times New Roman" w:hAnsi="Garamond" w:cs="Arial"/>
          <w:color w:val="222222"/>
          <w:sz w:val="24"/>
          <w:szCs w:val="24"/>
        </w:rPr>
        <w:t xml:space="preserve">National pour le Rassemblement et le Développement (CNRD), </w:t>
      </w:r>
      <w:r>
        <w:rPr>
          <w:rFonts w:ascii="Garamond" w:eastAsia="Times New Roman" w:hAnsi="Garamond" w:cs="Arial"/>
          <w:color w:val="222222"/>
          <w:sz w:val="24"/>
          <w:szCs w:val="24"/>
        </w:rPr>
        <w:t>sous la conduite du Colonel Mamadi Doumbouya ouvre une nouvelle séquence politique porteuse d’espoirs pour beaucoup mais présentant des risques pour d’autres.</w:t>
      </w:r>
    </w:p>
    <w:p w14:paraId="5D7ACDC1" w14:textId="77777777" w:rsidR="008E2434" w:rsidRDefault="00231AD0" w:rsidP="008E2434">
      <w:pPr>
        <w:jc w:val="both"/>
        <w:rPr>
          <w:rFonts w:ascii="Garamond" w:eastAsia="Times New Roman" w:hAnsi="Garamond" w:cs="Arial"/>
          <w:color w:val="222222"/>
          <w:sz w:val="24"/>
          <w:szCs w:val="24"/>
        </w:rPr>
      </w:pPr>
      <w:r>
        <w:rPr>
          <w:rFonts w:ascii="Garamond" w:eastAsia="Times New Roman" w:hAnsi="Garamond" w:cs="Arial"/>
          <w:color w:val="222222"/>
          <w:sz w:val="24"/>
          <w:szCs w:val="24"/>
        </w:rPr>
        <w:t>P</w:t>
      </w:r>
      <w:r w:rsidRPr="0003713F">
        <w:rPr>
          <w:rFonts w:ascii="Garamond" w:eastAsia="Times New Roman" w:hAnsi="Garamond" w:cs="Arial"/>
          <w:color w:val="222222"/>
          <w:sz w:val="24"/>
          <w:szCs w:val="24"/>
        </w:rPr>
        <w:t>lusieurs organisation</w:t>
      </w:r>
      <w:r>
        <w:rPr>
          <w:rFonts w:ascii="Garamond" w:eastAsia="Times New Roman" w:hAnsi="Garamond" w:cs="Arial"/>
          <w:color w:val="222222"/>
          <w:sz w:val="24"/>
          <w:szCs w:val="24"/>
        </w:rPr>
        <w:t>s</w:t>
      </w:r>
      <w:r w:rsidRPr="0003713F">
        <w:rPr>
          <w:rFonts w:ascii="Garamond" w:eastAsia="Times New Roman" w:hAnsi="Garamond" w:cs="Arial"/>
          <w:color w:val="222222"/>
          <w:sz w:val="24"/>
          <w:szCs w:val="24"/>
        </w:rPr>
        <w:t xml:space="preserve"> internationales </w:t>
      </w:r>
      <w:r>
        <w:rPr>
          <w:rFonts w:ascii="Garamond" w:eastAsia="Times New Roman" w:hAnsi="Garamond" w:cs="Arial"/>
          <w:color w:val="222222"/>
          <w:sz w:val="24"/>
          <w:szCs w:val="24"/>
        </w:rPr>
        <w:t xml:space="preserve">en particulier la </w:t>
      </w:r>
      <w:r w:rsidR="00D0510D">
        <w:rPr>
          <w:rFonts w:ascii="Garamond" w:eastAsia="Times New Roman" w:hAnsi="Garamond" w:cs="Arial"/>
          <w:color w:val="222222"/>
          <w:sz w:val="24"/>
          <w:szCs w:val="24"/>
        </w:rPr>
        <w:t xml:space="preserve"> CEDEAO ainsi que des pays comme </w:t>
      </w:r>
      <w:r>
        <w:rPr>
          <w:rFonts w:ascii="Garamond" w:eastAsia="Times New Roman" w:hAnsi="Garamond" w:cs="Arial"/>
          <w:color w:val="222222"/>
          <w:sz w:val="24"/>
          <w:szCs w:val="24"/>
        </w:rPr>
        <w:t>France et les USA</w:t>
      </w:r>
      <w:r w:rsidRPr="0003713F">
        <w:rPr>
          <w:rFonts w:ascii="Garamond" w:eastAsia="Times New Roman" w:hAnsi="Garamond" w:cs="Arial"/>
          <w:color w:val="222222"/>
          <w:sz w:val="24"/>
          <w:szCs w:val="24"/>
        </w:rPr>
        <w:t xml:space="preserve"> ont condamné cette irruption brusque de l’armée dans la vie politique</w:t>
      </w:r>
      <w:r w:rsidR="00D0510D">
        <w:rPr>
          <w:rFonts w:ascii="Garamond" w:eastAsia="Times New Roman" w:hAnsi="Garamond" w:cs="Arial"/>
          <w:color w:val="222222"/>
          <w:sz w:val="24"/>
          <w:szCs w:val="24"/>
        </w:rPr>
        <w:t>, rompant l’ordre constitutionnel</w:t>
      </w:r>
      <w:r w:rsidRPr="0003713F">
        <w:rPr>
          <w:rFonts w:ascii="Garamond" w:eastAsia="Times New Roman" w:hAnsi="Garamond" w:cs="Arial"/>
          <w:color w:val="222222"/>
          <w:sz w:val="24"/>
          <w:szCs w:val="24"/>
        </w:rPr>
        <w:t xml:space="preserve">. </w:t>
      </w:r>
      <w:r w:rsidR="00D0510D" w:rsidRPr="0003713F">
        <w:rPr>
          <w:rFonts w:ascii="Garamond" w:eastAsia="Times New Roman" w:hAnsi="Garamond" w:cs="Arial"/>
          <w:color w:val="222222"/>
          <w:sz w:val="24"/>
          <w:szCs w:val="24"/>
        </w:rPr>
        <w:t>S</w:t>
      </w:r>
      <w:r w:rsidR="00D0510D">
        <w:rPr>
          <w:rFonts w:ascii="Garamond" w:eastAsia="Times New Roman" w:hAnsi="Garamond" w:cs="Arial"/>
          <w:color w:val="222222"/>
          <w:sz w:val="24"/>
          <w:szCs w:val="24"/>
        </w:rPr>
        <w:t xml:space="preserve">i le coup de force rencontre une adhésion de la classe politique et celle des élites administratives et militaires, l’opinion publique guinéenne ne semble pas aussi uniforme même si dans l’ensemble elle demeure favorable à la junte. </w:t>
      </w:r>
    </w:p>
    <w:p w14:paraId="256950FB" w14:textId="21F72E06" w:rsidR="008E2434" w:rsidRDefault="008E2434" w:rsidP="008E2434">
      <w:pPr>
        <w:jc w:val="both"/>
        <w:rPr>
          <w:rFonts w:ascii="Garamond" w:eastAsia="Times New Roman" w:hAnsi="Garamond" w:cs="Arial"/>
          <w:color w:val="222222"/>
          <w:sz w:val="24"/>
          <w:szCs w:val="24"/>
        </w:rPr>
      </w:pPr>
      <w:r>
        <w:rPr>
          <w:rFonts w:ascii="Garamond" w:eastAsia="Times New Roman" w:hAnsi="Garamond" w:cs="Arial"/>
          <w:color w:val="222222"/>
          <w:sz w:val="24"/>
          <w:szCs w:val="24"/>
        </w:rPr>
        <w:t xml:space="preserve">C’est cette complexité que </w:t>
      </w:r>
      <w:r w:rsidRPr="008E2434">
        <w:rPr>
          <w:rFonts w:ascii="Garamond" w:eastAsia="Times New Roman" w:hAnsi="Garamond" w:cs="Arial"/>
          <w:color w:val="222222"/>
          <w:sz w:val="24"/>
          <w:szCs w:val="24"/>
        </w:rPr>
        <w:t xml:space="preserve"> </w:t>
      </w:r>
      <w:r>
        <w:rPr>
          <w:rFonts w:ascii="Garamond" w:eastAsia="Times New Roman" w:hAnsi="Garamond" w:cs="Arial"/>
          <w:color w:val="222222"/>
          <w:sz w:val="24"/>
          <w:szCs w:val="24"/>
        </w:rPr>
        <w:t>l</w:t>
      </w:r>
      <w:r w:rsidRPr="004F4ACE">
        <w:rPr>
          <w:rFonts w:ascii="Garamond" w:eastAsia="Times New Roman" w:hAnsi="Garamond" w:cs="Arial"/>
          <w:color w:val="222222"/>
          <w:sz w:val="24"/>
          <w:szCs w:val="24"/>
        </w:rPr>
        <w:t>’Association Guinéenne de Sciences Politiques</w:t>
      </w:r>
      <w:r w:rsidR="00996F69">
        <w:rPr>
          <w:rFonts w:ascii="Garamond" w:eastAsia="Times New Roman" w:hAnsi="Garamond" w:cs="Arial"/>
          <w:color w:val="222222"/>
          <w:sz w:val="24"/>
          <w:szCs w:val="24"/>
        </w:rPr>
        <w:t>(AGSP) et le Groupe Fréquence Médias</w:t>
      </w:r>
      <w:r>
        <w:rPr>
          <w:rFonts w:ascii="Garamond" w:eastAsia="Times New Roman" w:hAnsi="Garamond" w:cs="Arial"/>
          <w:color w:val="222222"/>
          <w:sz w:val="24"/>
          <w:szCs w:val="24"/>
        </w:rPr>
        <w:t xml:space="preserve"> (</w:t>
      </w:r>
      <w:r w:rsidR="00996F69">
        <w:rPr>
          <w:rFonts w:ascii="Garamond" w:eastAsia="Times New Roman" w:hAnsi="Garamond" w:cs="Arial"/>
          <w:color w:val="222222"/>
          <w:sz w:val="24"/>
          <w:szCs w:val="24"/>
        </w:rPr>
        <w:t>GFM</w:t>
      </w:r>
      <w:r>
        <w:rPr>
          <w:rFonts w:ascii="Garamond" w:eastAsia="Times New Roman" w:hAnsi="Garamond" w:cs="Arial"/>
          <w:color w:val="222222"/>
          <w:sz w:val="24"/>
          <w:szCs w:val="24"/>
        </w:rPr>
        <w:t>) dénoue</w:t>
      </w:r>
      <w:r w:rsidR="00996F69">
        <w:rPr>
          <w:rFonts w:ascii="Garamond" w:eastAsia="Times New Roman" w:hAnsi="Garamond" w:cs="Arial"/>
          <w:color w:val="222222"/>
          <w:sz w:val="24"/>
          <w:szCs w:val="24"/>
        </w:rPr>
        <w:t>nt</w:t>
      </w:r>
      <w:r>
        <w:rPr>
          <w:rFonts w:ascii="Garamond" w:eastAsia="Times New Roman" w:hAnsi="Garamond" w:cs="Arial"/>
          <w:color w:val="222222"/>
          <w:sz w:val="24"/>
          <w:szCs w:val="24"/>
        </w:rPr>
        <w:t xml:space="preserve"> en appréhendant les perceptions et les avis des populations </w:t>
      </w:r>
      <w:r w:rsidRPr="008E2434">
        <w:rPr>
          <w:rFonts w:ascii="Garamond" w:eastAsia="Times New Roman" w:hAnsi="Garamond" w:cs="Arial"/>
          <w:i/>
          <w:color w:val="222222"/>
          <w:sz w:val="24"/>
          <w:szCs w:val="24"/>
        </w:rPr>
        <w:t xml:space="preserve">via </w:t>
      </w:r>
      <w:r>
        <w:rPr>
          <w:rFonts w:ascii="Garamond" w:eastAsia="Times New Roman" w:hAnsi="Garamond" w:cs="Arial"/>
          <w:color w:val="222222"/>
          <w:sz w:val="24"/>
          <w:szCs w:val="24"/>
        </w:rPr>
        <w:t>un sondage réalisé le 13 et le 16 septembre 2021 dans la zone spéciale de Conakry et dans les sept chefs-lieux de régions administratives (</w:t>
      </w:r>
      <w:r w:rsidRPr="004F4ACE">
        <w:rPr>
          <w:rFonts w:ascii="Garamond" w:eastAsia="Times New Roman" w:hAnsi="Garamond" w:cs="Arial"/>
          <w:color w:val="222222"/>
          <w:sz w:val="24"/>
          <w:szCs w:val="24"/>
        </w:rPr>
        <w:t>N’Zérékoré, Faranah, Kankan, Mamou, Labé, Boké, Kindia</w:t>
      </w:r>
      <w:r>
        <w:rPr>
          <w:rFonts w:ascii="Garamond" w:eastAsia="Times New Roman" w:hAnsi="Garamond" w:cs="Arial"/>
          <w:color w:val="222222"/>
          <w:sz w:val="24"/>
          <w:szCs w:val="24"/>
        </w:rPr>
        <w:t>).</w:t>
      </w:r>
    </w:p>
    <w:p w14:paraId="45A532B4" w14:textId="121E55A5" w:rsidR="008E2434" w:rsidRDefault="008E2434" w:rsidP="008E2434">
      <w:pPr>
        <w:jc w:val="both"/>
        <w:rPr>
          <w:rFonts w:ascii="Garamond" w:eastAsia="Times New Roman" w:hAnsi="Garamond" w:cs="Arial"/>
          <w:color w:val="222222"/>
          <w:sz w:val="24"/>
          <w:szCs w:val="24"/>
        </w:rPr>
      </w:pPr>
      <w:r w:rsidRPr="004F4ACE">
        <w:rPr>
          <w:rFonts w:ascii="Garamond" w:eastAsia="Times New Roman" w:hAnsi="Garamond" w:cs="Arial"/>
          <w:color w:val="222222"/>
          <w:sz w:val="24"/>
          <w:szCs w:val="24"/>
        </w:rPr>
        <w:t>Ce sondage</w:t>
      </w:r>
      <w:r>
        <w:rPr>
          <w:rFonts w:ascii="Garamond" w:eastAsia="Times New Roman" w:hAnsi="Garamond" w:cs="Arial"/>
          <w:color w:val="222222"/>
          <w:sz w:val="24"/>
          <w:szCs w:val="24"/>
        </w:rPr>
        <w:t xml:space="preserve"> -  s’intéressant à l’acceptabilité sociale du coup d’Etat, la durée de la transition, les priorités du CNRD</w:t>
      </w:r>
      <w:r w:rsidRPr="004F4ACE">
        <w:rPr>
          <w:rFonts w:ascii="Garamond" w:eastAsia="Times New Roman" w:hAnsi="Garamond" w:cs="Arial"/>
          <w:color w:val="222222"/>
          <w:sz w:val="24"/>
          <w:szCs w:val="24"/>
        </w:rPr>
        <w:t xml:space="preserve"> </w:t>
      </w:r>
      <w:r>
        <w:rPr>
          <w:rFonts w:ascii="Garamond" w:eastAsia="Times New Roman" w:hAnsi="Garamond" w:cs="Arial"/>
          <w:color w:val="222222"/>
          <w:sz w:val="24"/>
          <w:szCs w:val="24"/>
        </w:rPr>
        <w:t xml:space="preserve">et l’importance du cadre de concertation ouvert par la junte - </w:t>
      </w:r>
      <w:r w:rsidRPr="004F4ACE">
        <w:rPr>
          <w:rFonts w:ascii="Garamond" w:eastAsia="Times New Roman" w:hAnsi="Garamond" w:cs="Arial"/>
          <w:color w:val="222222"/>
          <w:sz w:val="24"/>
          <w:szCs w:val="24"/>
        </w:rPr>
        <w:t>s’inscrit dans le cadre du « Programme d’Appui à la Gouvernance Politique et Démocra</w:t>
      </w:r>
      <w:r>
        <w:rPr>
          <w:rFonts w:ascii="Garamond" w:eastAsia="Times New Roman" w:hAnsi="Garamond" w:cs="Arial"/>
          <w:color w:val="222222"/>
          <w:sz w:val="24"/>
          <w:szCs w:val="24"/>
        </w:rPr>
        <w:t xml:space="preserve">tique en Guinée » qui </w:t>
      </w:r>
      <w:r w:rsidRPr="004F4ACE">
        <w:rPr>
          <w:rFonts w:ascii="Garamond" w:eastAsia="Times New Roman" w:hAnsi="Garamond" w:cs="Arial"/>
          <w:color w:val="222222"/>
          <w:sz w:val="24"/>
          <w:szCs w:val="24"/>
        </w:rPr>
        <w:t xml:space="preserve">consiste à la mise en place de baromètre d’aide à la prise de décisions pour les Gouvernants dans le cadre de la bonne gouvernance politique et démocratique. </w:t>
      </w:r>
    </w:p>
    <w:p w14:paraId="30C85277" w14:textId="77777777" w:rsidR="008E2434" w:rsidRDefault="008E2434" w:rsidP="000F6685">
      <w:pPr>
        <w:rPr>
          <w:rFonts w:ascii="Garamond" w:hAnsi="Garamond"/>
          <w:sz w:val="2"/>
          <w:szCs w:val="2"/>
        </w:rPr>
      </w:pPr>
    </w:p>
    <w:p w14:paraId="32E574FE" w14:textId="77777777" w:rsidR="000F6685" w:rsidRPr="007660C4" w:rsidRDefault="000F6685" w:rsidP="000F6685">
      <w:pPr>
        <w:pStyle w:val="Titre1"/>
        <w:rPr>
          <w:rFonts w:ascii="Garamond" w:hAnsi="Garamond"/>
          <w:b/>
          <w:bCs/>
          <w:sz w:val="24"/>
          <w:szCs w:val="24"/>
        </w:rPr>
      </w:pPr>
      <w:bookmarkStart w:id="1" w:name="_Toc59383999"/>
      <w:bookmarkStart w:id="2" w:name="_Toc59384781"/>
      <w:bookmarkStart w:id="3" w:name="_Toc83781932"/>
      <w:r w:rsidRPr="007660C4">
        <w:rPr>
          <w:rFonts w:ascii="Garamond" w:hAnsi="Garamond"/>
          <w:b/>
          <w:bCs/>
          <w:sz w:val="24"/>
          <w:szCs w:val="24"/>
        </w:rPr>
        <w:t>METHODOLOGIE</w:t>
      </w:r>
      <w:bookmarkEnd w:id="1"/>
      <w:bookmarkEnd w:id="2"/>
      <w:bookmarkEnd w:id="3"/>
    </w:p>
    <w:p w14:paraId="27C5FD2E" w14:textId="77777777" w:rsidR="000F6685" w:rsidRPr="004F4ACE" w:rsidRDefault="000F6685" w:rsidP="00A271E5">
      <w:pPr>
        <w:shd w:val="clear" w:color="auto" w:fill="DEEAF6" w:themeFill="accent1" w:themeFillTint="33"/>
        <w:rPr>
          <w:rFonts w:ascii="Garamond" w:hAnsi="Garamond"/>
          <w:sz w:val="2"/>
          <w:szCs w:val="2"/>
        </w:rPr>
      </w:pPr>
    </w:p>
    <w:p w14:paraId="6D8C3699" w14:textId="2CFE0159" w:rsidR="000661C9" w:rsidRPr="004A1DB3" w:rsidRDefault="000F6685" w:rsidP="004A1DB3">
      <w:pPr>
        <w:shd w:val="clear" w:color="auto" w:fill="DEEAF6" w:themeFill="accent1" w:themeFillTint="33"/>
        <w:jc w:val="both"/>
        <w:rPr>
          <w:rFonts w:ascii="Garamond" w:hAnsi="Garamond"/>
          <w:sz w:val="24"/>
          <w:szCs w:val="24"/>
        </w:rPr>
      </w:pPr>
      <w:r w:rsidRPr="004F4ACE">
        <w:rPr>
          <w:rFonts w:ascii="Garamond" w:hAnsi="Garamond"/>
          <w:sz w:val="24"/>
          <w:szCs w:val="24"/>
        </w:rPr>
        <w:t>Ce rapport porte sur les résultats du son</w:t>
      </w:r>
      <w:r>
        <w:rPr>
          <w:rFonts w:ascii="Garamond" w:hAnsi="Garamond"/>
          <w:sz w:val="24"/>
          <w:szCs w:val="24"/>
        </w:rPr>
        <w:t>dage national réalisé entre le 13</w:t>
      </w:r>
      <w:r w:rsidRPr="004F4ACE">
        <w:rPr>
          <w:rFonts w:ascii="Garamond" w:hAnsi="Garamond"/>
          <w:sz w:val="24"/>
          <w:szCs w:val="24"/>
          <w:vertAlign w:val="superscript"/>
        </w:rPr>
        <w:t xml:space="preserve"> </w:t>
      </w:r>
      <w:r>
        <w:rPr>
          <w:rFonts w:ascii="Garamond" w:hAnsi="Garamond"/>
          <w:sz w:val="24"/>
          <w:szCs w:val="24"/>
        </w:rPr>
        <w:t>et le 16 septembre 2021 auprès de 996</w:t>
      </w:r>
      <w:r w:rsidRPr="004F4ACE">
        <w:rPr>
          <w:rFonts w:ascii="Garamond" w:hAnsi="Garamond"/>
          <w:sz w:val="24"/>
          <w:szCs w:val="24"/>
        </w:rPr>
        <w:t xml:space="preserve"> personnes interrogées en face à face. Cet échantillon a été tiré selon l</w:t>
      </w:r>
      <w:r>
        <w:rPr>
          <w:rFonts w:ascii="Garamond" w:hAnsi="Garamond"/>
          <w:sz w:val="24"/>
          <w:szCs w:val="24"/>
        </w:rPr>
        <w:t>a méthode des quotas (sexe et commune d’habitation</w:t>
      </w:r>
      <w:r w:rsidRPr="004F4ACE">
        <w:rPr>
          <w:rFonts w:ascii="Garamond" w:hAnsi="Garamond"/>
          <w:sz w:val="24"/>
          <w:szCs w:val="24"/>
        </w:rPr>
        <w:t xml:space="preserve">) après une stratification par regroupement régional des régions administratives du pays dont la zone spéciale de Conakry.  L’échantillon est représentatif de la population </w:t>
      </w:r>
      <w:r>
        <w:rPr>
          <w:rFonts w:ascii="Garamond" w:hAnsi="Garamond"/>
          <w:sz w:val="24"/>
          <w:szCs w:val="24"/>
        </w:rPr>
        <w:t xml:space="preserve">guinéenne </w:t>
      </w:r>
      <w:r w:rsidRPr="004F4ACE">
        <w:rPr>
          <w:rFonts w:ascii="Garamond" w:hAnsi="Garamond"/>
          <w:sz w:val="24"/>
          <w:szCs w:val="24"/>
        </w:rPr>
        <w:t xml:space="preserve">sur la base des statistiques finales du fichier électoral rendu public le 14 septembre 2020 par la Commission électorale nationale indépendante (CENI). Le questionnaire est annexé à la </w:t>
      </w:r>
      <w:r w:rsidR="008F3697">
        <w:rPr>
          <w:rFonts w:ascii="Garamond" w:hAnsi="Garamond"/>
          <w:sz w:val="24"/>
          <w:szCs w:val="24"/>
        </w:rPr>
        <w:t xml:space="preserve">note </w:t>
      </w:r>
      <w:r w:rsidRPr="004F4ACE">
        <w:rPr>
          <w:rFonts w:ascii="Garamond" w:hAnsi="Garamond"/>
          <w:sz w:val="24"/>
          <w:szCs w:val="24"/>
        </w:rPr>
        <w:t>synthèse.</w:t>
      </w:r>
      <w:bookmarkStart w:id="4" w:name="_Toc59384000"/>
      <w:bookmarkStart w:id="5" w:name="_Toc59384782"/>
    </w:p>
    <w:p w14:paraId="6C9A5C6A" w14:textId="77777777" w:rsidR="000F6685" w:rsidRPr="007660C4" w:rsidRDefault="000F6685" w:rsidP="000F6685">
      <w:pPr>
        <w:pStyle w:val="Titre1"/>
        <w:rPr>
          <w:rFonts w:ascii="Garamond" w:hAnsi="Garamond"/>
          <w:b/>
          <w:bCs/>
          <w:sz w:val="24"/>
          <w:szCs w:val="24"/>
        </w:rPr>
      </w:pPr>
      <w:bookmarkStart w:id="6" w:name="_Toc83781933"/>
      <w:r w:rsidRPr="007660C4">
        <w:rPr>
          <w:rFonts w:ascii="Garamond" w:hAnsi="Garamond"/>
          <w:b/>
          <w:bCs/>
          <w:sz w:val="24"/>
          <w:szCs w:val="24"/>
        </w:rPr>
        <w:t>PROFIL DES PERSONNES INTERROGEES</w:t>
      </w:r>
      <w:bookmarkEnd w:id="4"/>
      <w:bookmarkEnd w:id="5"/>
      <w:bookmarkEnd w:id="6"/>
    </w:p>
    <w:p w14:paraId="78D83DD9" w14:textId="77777777" w:rsidR="000F6685" w:rsidRPr="004F4ACE" w:rsidRDefault="000F6685" w:rsidP="000F6685">
      <w:pPr>
        <w:rPr>
          <w:rFonts w:ascii="Garamond" w:hAnsi="Garamond"/>
          <w:sz w:val="2"/>
          <w:szCs w:val="2"/>
        </w:rPr>
      </w:pPr>
    </w:p>
    <w:p w14:paraId="1AC9AB0A" w14:textId="23FAE3FE" w:rsidR="000F6685" w:rsidRPr="004F4ACE" w:rsidRDefault="000F6685" w:rsidP="000F6685">
      <w:pPr>
        <w:pBdr>
          <w:top w:val="single" w:sz="4" w:space="1" w:color="auto"/>
          <w:bottom w:val="single" w:sz="4" w:space="1" w:color="auto"/>
        </w:pBdr>
        <w:spacing w:line="240" w:lineRule="auto"/>
        <w:rPr>
          <w:rFonts w:ascii="Garamond" w:hAnsi="Garamond"/>
          <w:sz w:val="24"/>
          <w:szCs w:val="24"/>
        </w:rPr>
      </w:pPr>
      <w:r>
        <w:rPr>
          <w:rFonts w:ascii="Garamond" w:hAnsi="Garamond"/>
          <w:sz w:val="24"/>
          <w:szCs w:val="24"/>
        </w:rPr>
        <w:t>Echantillon : 996</w:t>
      </w:r>
      <w:r w:rsidRPr="004F4ACE">
        <w:rPr>
          <w:rFonts w:ascii="Garamond" w:hAnsi="Garamond"/>
          <w:sz w:val="24"/>
          <w:szCs w:val="24"/>
        </w:rPr>
        <w:t xml:space="preserve"> personnes</w:t>
      </w:r>
      <w:r>
        <w:rPr>
          <w:rFonts w:ascii="Garamond" w:hAnsi="Garamond"/>
          <w:sz w:val="24"/>
          <w:szCs w:val="24"/>
        </w:rPr>
        <w:t xml:space="preserve"> ont été interrogé</w:t>
      </w:r>
      <w:r w:rsidR="000661C9">
        <w:rPr>
          <w:rFonts w:ascii="Garamond" w:hAnsi="Garamond"/>
          <w:sz w:val="24"/>
          <w:szCs w:val="24"/>
        </w:rPr>
        <w:t>e</w:t>
      </w:r>
      <w:r>
        <w:rPr>
          <w:rFonts w:ascii="Garamond" w:hAnsi="Garamond"/>
          <w:sz w:val="24"/>
          <w:szCs w:val="24"/>
        </w:rPr>
        <w:t>s sur un objectif total de 1000 citoyens âgés entre [18 et +].</w:t>
      </w:r>
    </w:p>
    <w:p w14:paraId="45B36630" w14:textId="77777777" w:rsidR="000F6685" w:rsidRPr="004F4ACE" w:rsidRDefault="000F6685" w:rsidP="000F6685">
      <w:pPr>
        <w:pBdr>
          <w:top w:val="single" w:sz="4" w:space="1" w:color="auto"/>
          <w:bottom w:val="single" w:sz="4" w:space="1" w:color="auto"/>
        </w:pBdr>
        <w:spacing w:line="240" w:lineRule="auto"/>
        <w:rPr>
          <w:rFonts w:ascii="Garamond" w:hAnsi="Garamond"/>
          <w:sz w:val="24"/>
          <w:szCs w:val="24"/>
        </w:rPr>
      </w:pPr>
      <w:r>
        <w:rPr>
          <w:rFonts w:ascii="Garamond" w:hAnsi="Garamond"/>
          <w:sz w:val="24"/>
          <w:szCs w:val="24"/>
        </w:rPr>
        <w:t xml:space="preserve">Femme : </w:t>
      </w:r>
      <w:r w:rsidR="000414A3">
        <w:rPr>
          <w:rFonts w:ascii="Garamond" w:hAnsi="Garamond"/>
          <w:sz w:val="24"/>
          <w:szCs w:val="24"/>
        </w:rPr>
        <w:t xml:space="preserve">530 représentant une proportion de </w:t>
      </w:r>
      <w:r>
        <w:rPr>
          <w:rFonts w:ascii="Garamond" w:hAnsi="Garamond"/>
          <w:sz w:val="24"/>
          <w:szCs w:val="24"/>
        </w:rPr>
        <w:t>53,2%</w:t>
      </w:r>
    </w:p>
    <w:p w14:paraId="7F87AFF1" w14:textId="2700ED1F" w:rsidR="002D198D" w:rsidRPr="004A1DB3" w:rsidRDefault="000F6685" w:rsidP="004A1DB3">
      <w:pPr>
        <w:pBdr>
          <w:top w:val="single" w:sz="4" w:space="1" w:color="auto"/>
          <w:bottom w:val="single" w:sz="4" w:space="1" w:color="auto"/>
        </w:pBdr>
        <w:spacing w:line="240" w:lineRule="auto"/>
        <w:rPr>
          <w:rFonts w:ascii="Garamond" w:hAnsi="Garamond"/>
          <w:sz w:val="24"/>
          <w:szCs w:val="24"/>
        </w:rPr>
      </w:pPr>
      <w:r w:rsidRPr="004F4ACE">
        <w:rPr>
          <w:rFonts w:ascii="Garamond" w:hAnsi="Garamond"/>
          <w:sz w:val="24"/>
          <w:szCs w:val="24"/>
        </w:rPr>
        <w:t xml:space="preserve">Homme : </w:t>
      </w:r>
      <w:r w:rsidR="00A37809">
        <w:rPr>
          <w:rFonts w:ascii="Garamond" w:hAnsi="Garamond"/>
          <w:sz w:val="24"/>
          <w:szCs w:val="24"/>
        </w:rPr>
        <w:t>466</w:t>
      </w:r>
      <w:r w:rsidR="000414A3">
        <w:rPr>
          <w:rFonts w:ascii="Garamond" w:hAnsi="Garamond"/>
          <w:sz w:val="24"/>
          <w:szCs w:val="24"/>
        </w:rPr>
        <w:t xml:space="preserve"> représentant une proportion de </w:t>
      </w:r>
      <w:r>
        <w:rPr>
          <w:rFonts w:ascii="Garamond" w:hAnsi="Garamond"/>
          <w:sz w:val="24"/>
          <w:szCs w:val="24"/>
        </w:rPr>
        <w:t>46,7</w:t>
      </w:r>
      <w:r w:rsidRPr="004F4ACE">
        <w:rPr>
          <w:rFonts w:ascii="Garamond" w:hAnsi="Garamond"/>
          <w:sz w:val="24"/>
          <w:szCs w:val="24"/>
        </w:rPr>
        <w:t>%</w:t>
      </w:r>
    </w:p>
    <w:p w14:paraId="44BFAC17" w14:textId="2DF55E7D" w:rsidR="008B321B" w:rsidRDefault="008B321B" w:rsidP="009A35D2">
      <w:pPr>
        <w:pStyle w:val="Titre1"/>
        <w:rPr>
          <w:rFonts w:ascii="Garamond" w:hAnsi="Garamond"/>
          <w:b/>
          <w:bCs/>
          <w:sz w:val="24"/>
          <w:szCs w:val="24"/>
        </w:rPr>
      </w:pPr>
      <w:bookmarkStart w:id="7" w:name="_Toc83781934"/>
    </w:p>
    <w:p w14:paraId="3936B8B4" w14:textId="03589C53" w:rsidR="008B321B" w:rsidRDefault="008B321B" w:rsidP="008B321B"/>
    <w:p w14:paraId="7971C1D7" w14:textId="1C263CF5" w:rsidR="008B321B" w:rsidRDefault="008B321B" w:rsidP="008B321B"/>
    <w:p w14:paraId="01FD538E" w14:textId="6E7B2C2D" w:rsidR="008B321B" w:rsidRDefault="008B321B" w:rsidP="008B321B">
      <w:pPr>
        <w:rPr>
          <w:sz w:val="4"/>
        </w:rPr>
      </w:pPr>
    </w:p>
    <w:p w14:paraId="065AA008" w14:textId="77777777" w:rsidR="008B321B" w:rsidRPr="008B321B" w:rsidRDefault="008B321B" w:rsidP="008B321B">
      <w:pPr>
        <w:rPr>
          <w:sz w:val="4"/>
        </w:rPr>
      </w:pPr>
    </w:p>
    <w:p w14:paraId="021599DB" w14:textId="7088A21A" w:rsidR="003A14E7" w:rsidRDefault="008E2434" w:rsidP="009A35D2">
      <w:pPr>
        <w:pStyle w:val="Titre1"/>
        <w:rPr>
          <w:rFonts w:ascii="Garamond" w:hAnsi="Garamond"/>
          <w:b/>
          <w:bCs/>
          <w:sz w:val="24"/>
          <w:szCs w:val="24"/>
        </w:rPr>
      </w:pPr>
      <w:r>
        <w:rPr>
          <w:rFonts w:ascii="Garamond" w:hAnsi="Garamond"/>
          <w:b/>
          <w:bCs/>
          <w:sz w:val="24"/>
          <w:szCs w:val="24"/>
        </w:rPr>
        <w:t xml:space="preserve">PRINCIPAUX </w:t>
      </w:r>
      <w:r w:rsidR="000414A3" w:rsidRPr="0003713F">
        <w:rPr>
          <w:rFonts w:ascii="Garamond" w:hAnsi="Garamond"/>
          <w:b/>
          <w:bCs/>
          <w:sz w:val="24"/>
          <w:szCs w:val="24"/>
        </w:rPr>
        <w:t>RESULTATS</w:t>
      </w:r>
      <w:bookmarkEnd w:id="7"/>
    </w:p>
    <w:p w14:paraId="416E481C" w14:textId="77777777" w:rsidR="008E2434" w:rsidRPr="008B321B" w:rsidRDefault="008E2434" w:rsidP="008E2434">
      <w:pPr>
        <w:rPr>
          <w:sz w:val="4"/>
        </w:rPr>
      </w:pPr>
    </w:p>
    <w:p w14:paraId="30579AE6" w14:textId="68D19790" w:rsidR="00A430AE" w:rsidRDefault="00A430AE" w:rsidP="00A430AE">
      <w:pPr>
        <w:pStyle w:val="Paragraphedeliste"/>
        <w:numPr>
          <w:ilvl w:val="0"/>
          <w:numId w:val="3"/>
        </w:numPr>
        <w:rPr>
          <w:rFonts w:ascii="Garamond" w:hAnsi="Garamond"/>
          <w:b/>
          <w:sz w:val="24"/>
          <w:szCs w:val="24"/>
        </w:rPr>
      </w:pPr>
      <w:r w:rsidRPr="00A430AE">
        <w:rPr>
          <w:rFonts w:ascii="Garamond" w:hAnsi="Garamond"/>
          <w:b/>
          <w:sz w:val="24"/>
          <w:szCs w:val="24"/>
        </w:rPr>
        <w:t>Soutien massif de la population au coup d’Etat</w:t>
      </w:r>
    </w:p>
    <w:p w14:paraId="1585699E" w14:textId="4AB7A6F9" w:rsidR="00FA40B7" w:rsidRDefault="00A430AE" w:rsidP="00FA40B7">
      <w:pPr>
        <w:spacing w:line="240" w:lineRule="auto"/>
        <w:jc w:val="both"/>
        <w:rPr>
          <w:rFonts w:ascii="Garamond" w:hAnsi="Garamond"/>
          <w:sz w:val="24"/>
          <w:szCs w:val="24"/>
        </w:rPr>
      </w:pPr>
      <w:r w:rsidRPr="00A430AE">
        <w:rPr>
          <w:rFonts w:ascii="Garamond" w:hAnsi="Garamond"/>
          <w:sz w:val="24"/>
          <w:szCs w:val="24"/>
        </w:rPr>
        <w:t xml:space="preserve">A la date de </w:t>
      </w:r>
      <w:r>
        <w:rPr>
          <w:rFonts w:ascii="Garamond" w:hAnsi="Garamond"/>
          <w:sz w:val="24"/>
          <w:szCs w:val="24"/>
        </w:rPr>
        <w:t>réalisation du sondage entre le 13 et le 16 septembre 2021, soit plus d’une semaine après la survenue du coup d’Etat, une majo</w:t>
      </w:r>
      <w:r w:rsidR="00FA40B7">
        <w:rPr>
          <w:rFonts w:ascii="Garamond" w:hAnsi="Garamond"/>
          <w:sz w:val="24"/>
          <w:szCs w:val="24"/>
        </w:rPr>
        <w:t>rité nette de Guinéens (63,65%) déclare</w:t>
      </w:r>
      <w:r>
        <w:rPr>
          <w:rFonts w:ascii="Garamond" w:hAnsi="Garamond"/>
          <w:sz w:val="24"/>
          <w:szCs w:val="24"/>
        </w:rPr>
        <w:t xml:space="preserve"> que celui-ci est « venu au bon moment ». </w:t>
      </w:r>
      <w:r w:rsidR="008E2434">
        <w:rPr>
          <w:rFonts w:ascii="Garamond" w:hAnsi="Garamond"/>
          <w:sz w:val="24"/>
          <w:szCs w:val="24"/>
        </w:rPr>
        <w:t>Ces répondants ont donc une</w:t>
      </w:r>
      <w:r w:rsidR="008E2434" w:rsidRPr="003F3013">
        <w:rPr>
          <w:rFonts w:ascii="Garamond" w:hAnsi="Garamond"/>
          <w:sz w:val="24"/>
          <w:szCs w:val="24"/>
        </w:rPr>
        <w:t xml:space="preserve"> opinion favorable</w:t>
      </w:r>
      <w:r w:rsidR="008E2434">
        <w:rPr>
          <w:rFonts w:ascii="Garamond" w:hAnsi="Garamond"/>
          <w:sz w:val="24"/>
          <w:szCs w:val="24"/>
        </w:rPr>
        <w:t xml:space="preserve"> au </w:t>
      </w:r>
      <w:r w:rsidR="008E2434" w:rsidRPr="003F3013">
        <w:rPr>
          <w:rFonts w:ascii="Garamond" w:hAnsi="Garamond"/>
          <w:sz w:val="24"/>
          <w:szCs w:val="24"/>
        </w:rPr>
        <w:t xml:space="preserve">CNRD. Par contre, 26% </w:t>
      </w:r>
      <w:r w:rsidR="008E2434">
        <w:rPr>
          <w:rFonts w:ascii="Garamond" w:hAnsi="Garamond"/>
          <w:sz w:val="24"/>
          <w:szCs w:val="24"/>
        </w:rPr>
        <w:t xml:space="preserve">des répondants trouvent que « le coup d’Etat du CNRD était inopportun ». Ils sont donc ceux-là qui </w:t>
      </w:r>
      <w:r w:rsidR="008E2434" w:rsidRPr="003F3013">
        <w:rPr>
          <w:rFonts w:ascii="Garamond" w:hAnsi="Garamond"/>
          <w:sz w:val="24"/>
          <w:szCs w:val="24"/>
        </w:rPr>
        <w:t>rejet</w:t>
      </w:r>
      <w:r w:rsidR="008E2434">
        <w:rPr>
          <w:rFonts w:ascii="Garamond" w:hAnsi="Garamond"/>
          <w:sz w:val="24"/>
          <w:szCs w:val="24"/>
        </w:rPr>
        <w:t>aient</w:t>
      </w:r>
      <w:r w:rsidR="008E2434" w:rsidRPr="003F3013">
        <w:rPr>
          <w:rFonts w:ascii="Garamond" w:hAnsi="Garamond"/>
          <w:sz w:val="24"/>
          <w:szCs w:val="24"/>
        </w:rPr>
        <w:t xml:space="preserve"> la prise de pouvoir par le CNRD</w:t>
      </w:r>
      <w:r w:rsidR="008E2434">
        <w:rPr>
          <w:rFonts w:ascii="Garamond" w:hAnsi="Garamond"/>
          <w:sz w:val="24"/>
          <w:szCs w:val="24"/>
        </w:rPr>
        <w:t xml:space="preserve"> </w:t>
      </w:r>
      <w:r w:rsidR="00FA40B7">
        <w:rPr>
          <w:rFonts w:ascii="Garamond" w:hAnsi="Garamond"/>
          <w:sz w:val="24"/>
          <w:szCs w:val="24"/>
        </w:rPr>
        <w:t>à la</w:t>
      </w:r>
      <w:r w:rsidR="008E2434">
        <w:rPr>
          <w:rFonts w:ascii="Garamond" w:hAnsi="Garamond"/>
          <w:sz w:val="24"/>
          <w:szCs w:val="24"/>
        </w:rPr>
        <w:t xml:space="preserve"> période de réalisation de cette étude. </w:t>
      </w:r>
    </w:p>
    <w:p w14:paraId="1A313E4E" w14:textId="6EA74B69" w:rsidR="008E2434" w:rsidRDefault="008E2434" w:rsidP="00FA40B7">
      <w:pPr>
        <w:spacing w:line="240" w:lineRule="auto"/>
        <w:jc w:val="both"/>
        <w:rPr>
          <w:rFonts w:ascii="Garamond" w:hAnsi="Garamond"/>
          <w:sz w:val="24"/>
          <w:szCs w:val="24"/>
        </w:rPr>
      </w:pPr>
      <w:r>
        <w:rPr>
          <w:rFonts w:ascii="Garamond" w:hAnsi="Garamond"/>
          <w:sz w:val="24"/>
          <w:szCs w:val="24"/>
        </w:rPr>
        <w:t xml:space="preserve">Plus loin, ils sont </w:t>
      </w:r>
      <w:r w:rsidR="00FA40B7">
        <w:rPr>
          <w:rFonts w:ascii="Garamond" w:hAnsi="Garamond"/>
          <w:sz w:val="24"/>
          <w:szCs w:val="24"/>
        </w:rPr>
        <w:t xml:space="preserve">respectivement </w:t>
      </w:r>
      <w:r w:rsidRPr="003F3013">
        <w:rPr>
          <w:rFonts w:ascii="Garamond" w:hAnsi="Garamond"/>
          <w:sz w:val="24"/>
          <w:szCs w:val="24"/>
        </w:rPr>
        <w:t>13,05%</w:t>
      </w:r>
      <w:r w:rsidR="00FA40B7">
        <w:rPr>
          <w:rFonts w:ascii="Garamond" w:hAnsi="Garamond"/>
          <w:sz w:val="24"/>
          <w:szCs w:val="24"/>
        </w:rPr>
        <w:t xml:space="preserve"> et 10, 04%</w:t>
      </w:r>
      <w:r>
        <w:rPr>
          <w:rFonts w:ascii="Garamond" w:hAnsi="Garamond"/>
          <w:sz w:val="24"/>
          <w:szCs w:val="24"/>
        </w:rPr>
        <w:t xml:space="preserve"> d’interviewés à déclarer « ne soutenir aucune prise de pouvoir par l’armée guinéenne »</w:t>
      </w:r>
      <w:r w:rsidR="00FA40B7">
        <w:rPr>
          <w:rFonts w:ascii="Garamond" w:hAnsi="Garamond"/>
          <w:sz w:val="24"/>
          <w:szCs w:val="24"/>
        </w:rPr>
        <w:t xml:space="preserve"> et « n’avoir pas d’opinion sur le sujet »</w:t>
      </w:r>
      <w:r w:rsidRPr="003F3013">
        <w:rPr>
          <w:rFonts w:ascii="Garamond" w:hAnsi="Garamond"/>
          <w:sz w:val="24"/>
          <w:szCs w:val="24"/>
        </w:rPr>
        <w:t xml:space="preserve">. </w:t>
      </w:r>
      <w:r w:rsidR="00FA40B7">
        <w:rPr>
          <w:rFonts w:ascii="Garamond" w:hAnsi="Garamond"/>
          <w:sz w:val="24"/>
          <w:szCs w:val="24"/>
        </w:rPr>
        <w:t>Près d’un quart des Guiné</w:t>
      </w:r>
      <w:r w:rsidR="00A85B79">
        <w:rPr>
          <w:rFonts w:ascii="Garamond" w:hAnsi="Garamond"/>
          <w:sz w:val="24"/>
          <w:szCs w:val="24"/>
        </w:rPr>
        <w:t>ens seraient soit défavorable soit</w:t>
      </w:r>
      <w:r w:rsidR="00FA40B7">
        <w:rPr>
          <w:rFonts w:ascii="Garamond" w:hAnsi="Garamond"/>
          <w:sz w:val="24"/>
          <w:szCs w:val="24"/>
        </w:rPr>
        <w:t xml:space="preserve"> circonspect face </w:t>
      </w:r>
      <w:r w:rsidR="00A85B79">
        <w:rPr>
          <w:rFonts w:ascii="Garamond" w:hAnsi="Garamond"/>
          <w:sz w:val="24"/>
          <w:szCs w:val="24"/>
        </w:rPr>
        <w:t xml:space="preserve">à </w:t>
      </w:r>
      <w:r w:rsidR="00FA40B7">
        <w:rPr>
          <w:rFonts w:ascii="Garamond" w:hAnsi="Garamond"/>
          <w:sz w:val="24"/>
          <w:szCs w:val="24"/>
        </w:rPr>
        <w:t>l’évènement.</w:t>
      </w:r>
    </w:p>
    <w:p w14:paraId="226CF2FB" w14:textId="64BF19AB" w:rsidR="00FA40B7" w:rsidRPr="00FA40B7" w:rsidRDefault="00FA40B7" w:rsidP="004A1DB3">
      <w:pPr>
        <w:spacing w:before="120" w:after="120" w:line="240" w:lineRule="auto"/>
        <w:ind w:left="60"/>
        <w:jc w:val="both"/>
        <w:rPr>
          <w:rFonts w:ascii="Garamond" w:hAnsi="Garamond"/>
          <w:sz w:val="24"/>
          <w:szCs w:val="24"/>
        </w:rPr>
      </w:pPr>
      <w:r>
        <w:rPr>
          <w:rFonts w:ascii="Garamond" w:hAnsi="Garamond"/>
          <w:sz w:val="24"/>
          <w:szCs w:val="24"/>
        </w:rPr>
        <w:t>L’adhésion populaire à l’opportunité du coup d’Etat laisse présager que le pouvoir déchu ne semblait plus avoir la légitimité nécessaire. Les raisons de cette disgrâce du Président Alpha Condé sont protéiformes et celles-ci seront analysées dans d’autres études subséquentes afin d’approfondir la compréhension de la perception des Guinéens.</w:t>
      </w:r>
    </w:p>
    <w:p w14:paraId="11BC1BC3" w14:textId="77777777" w:rsidR="0003713F" w:rsidRPr="0003713F" w:rsidRDefault="0003713F" w:rsidP="0003713F">
      <w:pPr>
        <w:pStyle w:val="Titre1"/>
        <w:numPr>
          <w:ilvl w:val="0"/>
          <w:numId w:val="1"/>
        </w:numPr>
        <w:rPr>
          <w:rFonts w:ascii="Garamond" w:hAnsi="Garamond"/>
          <w:sz w:val="28"/>
          <w:szCs w:val="28"/>
        </w:rPr>
      </w:pPr>
      <w:bookmarkStart w:id="8" w:name="_Toc83781935"/>
      <w:r w:rsidRPr="0003713F">
        <w:rPr>
          <w:rFonts w:ascii="Garamond" w:hAnsi="Garamond"/>
          <w:sz w:val="28"/>
          <w:szCs w:val="28"/>
        </w:rPr>
        <w:t>Soutien au putsch</w:t>
      </w:r>
      <w:r>
        <w:rPr>
          <w:rFonts w:ascii="Garamond" w:hAnsi="Garamond"/>
          <w:sz w:val="28"/>
          <w:szCs w:val="28"/>
        </w:rPr>
        <w:t> ?</w:t>
      </w:r>
      <w:bookmarkEnd w:id="8"/>
    </w:p>
    <w:p w14:paraId="7881B9F7" w14:textId="77777777" w:rsidR="0003713F" w:rsidRPr="00AA34D9" w:rsidRDefault="0003713F" w:rsidP="000414A3">
      <w:pPr>
        <w:rPr>
          <w:sz w:val="4"/>
        </w:rPr>
      </w:pPr>
    </w:p>
    <w:p w14:paraId="10B27688" w14:textId="3032C234" w:rsidR="00F30879" w:rsidRPr="00A14E13" w:rsidRDefault="000414A3" w:rsidP="00A14E13">
      <w:r w:rsidRPr="00231014">
        <w:rPr>
          <w:noProof/>
          <w:shd w:val="clear" w:color="auto" w:fill="ED7D31" w:themeFill="accent2"/>
          <w:lang w:eastAsia="fr-FR"/>
        </w:rPr>
        <w:drawing>
          <wp:inline distT="0" distB="0" distL="0" distR="0" wp14:anchorId="6F271DA5" wp14:editId="2CE31503">
            <wp:extent cx="5739973" cy="2743200"/>
            <wp:effectExtent l="0" t="0" r="1333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CF86EA" w14:textId="0B09D28C" w:rsidR="00B1783B" w:rsidRPr="00DE2E37" w:rsidRDefault="00B1783B" w:rsidP="00B1783B">
      <w:pPr>
        <w:jc w:val="both"/>
        <w:rPr>
          <w:rFonts w:ascii="Garamond" w:hAnsi="Garamond"/>
          <w:b/>
          <w:sz w:val="24"/>
          <w:szCs w:val="24"/>
        </w:rPr>
      </w:pPr>
      <w:r w:rsidRPr="00B1783B">
        <w:rPr>
          <w:rFonts w:ascii="Garamond" w:hAnsi="Garamond"/>
          <w:b/>
          <w:sz w:val="24"/>
          <w:szCs w:val="24"/>
        </w:rPr>
        <w:t>Des lignes de fracture nettes entre les zones d’influence</w:t>
      </w:r>
      <w:r w:rsidR="00A32741">
        <w:rPr>
          <w:rFonts w:ascii="Garamond" w:hAnsi="Garamond"/>
          <w:b/>
          <w:sz w:val="24"/>
          <w:szCs w:val="24"/>
        </w:rPr>
        <w:t xml:space="preserve"> de</w:t>
      </w:r>
      <w:r w:rsidRPr="00B1783B">
        <w:rPr>
          <w:rFonts w:ascii="Garamond" w:hAnsi="Garamond"/>
          <w:b/>
          <w:sz w:val="24"/>
          <w:szCs w:val="24"/>
        </w:rPr>
        <w:t xml:space="preserve"> l’ancienne mouvance présidentiel</w:t>
      </w:r>
      <w:r w:rsidR="00A32741">
        <w:rPr>
          <w:rFonts w:ascii="Garamond" w:hAnsi="Garamond"/>
          <w:b/>
          <w:sz w:val="24"/>
          <w:szCs w:val="24"/>
        </w:rPr>
        <w:t>le et celles favorable</w:t>
      </w:r>
      <w:r w:rsidR="00570E3F">
        <w:rPr>
          <w:rFonts w:ascii="Garamond" w:hAnsi="Garamond"/>
          <w:b/>
          <w:sz w:val="24"/>
          <w:szCs w:val="24"/>
        </w:rPr>
        <w:t>s</w:t>
      </w:r>
      <w:r w:rsidR="00A32741">
        <w:rPr>
          <w:rFonts w:ascii="Garamond" w:hAnsi="Garamond"/>
          <w:b/>
          <w:sz w:val="24"/>
          <w:szCs w:val="24"/>
        </w:rPr>
        <w:t xml:space="preserve"> à son </w:t>
      </w:r>
      <w:r w:rsidRPr="00B1783B">
        <w:rPr>
          <w:rFonts w:ascii="Garamond" w:hAnsi="Garamond"/>
          <w:b/>
          <w:sz w:val="24"/>
          <w:szCs w:val="24"/>
        </w:rPr>
        <w:t>opposition</w:t>
      </w:r>
      <w:r w:rsidR="00A32741">
        <w:rPr>
          <w:rFonts w:ascii="Garamond" w:hAnsi="Garamond"/>
          <w:b/>
          <w:sz w:val="24"/>
          <w:szCs w:val="24"/>
        </w:rPr>
        <w:t xml:space="preserve"> politique</w:t>
      </w:r>
    </w:p>
    <w:p w14:paraId="1F8C24C9" w14:textId="486BA0AE" w:rsidR="00B1783B" w:rsidRPr="00A14E13" w:rsidRDefault="00B1783B" w:rsidP="00B1783B">
      <w:pPr>
        <w:jc w:val="both"/>
        <w:rPr>
          <w:rFonts w:ascii="Garamond" w:hAnsi="Garamond"/>
          <w:sz w:val="24"/>
          <w:szCs w:val="24"/>
        </w:rPr>
      </w:pPr>
      <w:r>
        <w:rPr>
          <w:rFonts w:ascii="Garamond" w:hAnsi="Garamond"/>
          <w:sz w:val="24"/>
          <w:szCs w:val="24"/>
        </w:rPr>
        <w:t>Sur la base du graphique ci-dessous</w:t>
      </w:r>
      <w:r w:rsidR="00DE2E37">
        <w:rPr>
          <w:rFonts w:ascii="Garamond" w:hAnsi="Garamond"/>
          <w:sz w:val="24"/>
          <w:szCs w:val="24"/>
        </w:rPr>
        <w:t>, il ressort clairement que les taux d’approbation de la survenue du Coup d’Etat sont nettement différents selon la zone géographique des personnes interrogées. Mieux, les zones réputées être des « fiefs » du parti déchu, le RPG-Arc-en-Ciel</w:t>
      </w:r>
      <w:r w:rsidR="00A32741">
        <w:rPr>
          <w:rFonts w:ascii="Garamond" w:hAnsi="Garamond"/>
          <w:sz w:val="24"/>
          <w:szCs w:val="24"/>
        </w:rPr>
        <w:t>,</w:t>
      </w:r>
      <w:r w:rsidR="00DE2E37">
        <w:rPr>
          <w:rFonts w:ascii="Garamond" w:hAnsi="Garamond"/>
          <w:sz w:val="24"/>
          <w:szCs w:val="24"/>
        </w:rPr>
        <w:t xml:space="preserve"> enregistrent les plus faibles taux d’adhésion, ces derniers descendant parfois en dessous de 50%. La région de Kankan par exemple n’affiche que 35% de sondés qui approuvent le coup d’Etat et justifient son opportunité. Dans la commune de Matam – zone où le RPG-Arc-en-ciel a une forte </w:t>
      </w:r>
      <w:r w:rsidR="00DE2E37">
        <w:rPr>
          <w:rFonts w:ascii="Garamond" w:hAnsi="Garamond"/>
          <w:sz w:val="24"/>
          <w:szCs w:val="24"/>
        </w:rPr>
        <w:lastRenderedPageBreak/>
        <w:t>implantation –, le pourcentage d’adhésion au coup d’Etat est de 27%. En revanche, à Labé (91%), Mamou (95%) ou encore dans la commune de Ratoma (88%), c’est un plébiscite.</w:t>
      </w:r>
    </w:p>
    <w:p w14:paraId="1C05276B" w14:textId="56ABF0C5" w:rsidR="00DE2E37" w:rsidRPr="00DE2E37" w:rsidRDefault="00DE2E37" w:rsidP="00DE2E37">
      <w:pPr>
        <w:pStyle w:val="Titre1"/>
        <w:numPr>
          <w:ilvl w:val="0"/>
          <w:numId w:val="1"/>
        </w:numPr>
        <w:rPr>
          <w:rFonts w:ascii="Garamond" w:hAnsi="Garamond"/>
          <w:sz w:val="28"/>
          <w:szCs w:val="28"/>
        </w:rPr>
      </w:pPr>
      <w:bookmarkStart w:id="9" w:name="_Toc83781936"/>
      <w:r w:rsidRPr="0003713F">
        <w:rPr>
          <w:rFonts w:ascii="Garamond" w:hAnsi="Garamond"/>
          <w:sz w:val="28"/>
          <w:szCs w:val="28"/>
        </w:rPr>
        <w:t>Soutien au putsch</w:t>
      </w:r>
      <w:r>
        <w:rPr>
          <w:rFonts w:ascii="Garamond" w:hAnsi="Garamond"/>
          <w:sz w:val="28"/>
          <w:szCs w:val="28"/>
        </w:rPr>
        <w:t> selon la zone de résidence</w:t>
      </w:r>
      <w:bookmarkEnd w:id="9"/>
    </w:p>
    <w:p w14:paraId="65D9180A" w14:textId="0D4B743A" w:rsidR="00DE2E37" w:rsidRPr="008B321B" w:rsidRDefault="008C5238" w:rsidP="008B321B">
      <w:pPr>
        <w:jc w:val="center"/>
        <w:rPr>
          <w:rFonts w:ascii="Garamond" w:hAnsi="Garamond"/>
          <w:sz w:val="24"/>
          <w:szCs w:val="24"/>
        </w:rPr>
      </w:pPr>
      <w:r>
        <w:rPr>
          <w:noProof/>
          <w:lang w:eastAsia="fr-FR"/>
        </w:rPr>
        <w:drawing>
          <wp:inline distT="0" distB="0" distL="0" distR="0" wp14:anchorId="3A99BF6F" wp14:editId="5E82F983">
            <wp:extent cx="5833110" cy="3369733"/>
            <wp:effectExtent l="0" t="0" r="15240" b="254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0A38F5" w14:textId="5E32AB67" w:rsidR="00F650B6" w:rsidRDefault="00F650B6" w:rsidP="00A32741">
      <w:pPr>
        <w:pStyle w:val="Paragraphedeliste"/>
        <w:numPr>
          <w:ilvl w:val="0"/>
          <w:numId w:val="3"/>
        </w:numPr>
        <w:rPr>
          <w:rFonts w:ascii="Garamond" w:hAnsi="Garamond"/>
          <w:b/>
          <w:sz w:val="24"/>
          <w:szCs w:val="24"/>
        </w:rPr>
      </w:pPr>
      <w:r>
        <w:rPr>
          <w:rFonts w:ascii="Garamond" w:hAnsi="Garamond"/>
          <w:b/>
          <w:sz w:val="24"/>
          <w:szCs w:val="24"/>
        </w:rPr>
        <w:t>Une confiance affirmée au CNRD</w:t>
      </w:r>
      <w:r w:rsidR="0045525D">
        <w:rPr>
          <w:rFonts w:ascii="Garamond" w:hAnsi="Garamond"/>
          <w:b/>
          <w:sz w:val="24"/>
          <w:szCs w:val="24"/>
        </w:rPr>
        <w:t xml:space="preserve"> mais</w:t>
      </w:r>
      <w:r>
        <w:rPr>
          <w:rFonts w:ascii="Garamond" w:hAnsi="Garamond"/>
          <w:b/>
          <w:sz w:val="24"/>
          <w:szCs w:val="24"/>
        </w:rPr>
        <w:t>…</w:t>
      </w:r>
    </w:p>
    <w:p w14:paraId="34D7E54B" w14:textId="2CA9B661" w:rsidR="002D3FBB" w:rsidRDefault="00F650B6" w:rsidP="0045525D">
      <w:pPr>
        <w:jc w:val="both"/>
        <w:rPr>
          <w:rFonts w:ascii="Garamond" w:hAnsi="Garamond"/>
          <w:sz w:val="24"/>
          <w:szCs w:val="24"/>
        </w:rPr>
      </w:pPr>
      <w:r w:rsidRPr="00F650B6">
        <w:rPr>
          <w:rFonts w:ascii="Garamond" w:hAnsi="Garamond"/>
          <w:sz w:val="24"/>
          <w:szCs w:val="24"/>
        </w:rPr>
        <w:t>Si l’avènement du coup d’Etat perpétré par le CNRD le 05 Septembre</w:t>
      </w:r>
      <w:r>
        <w:rPr>
          <w:rFonts w:ascii="Garamond" w:hAnsi="Garamond"/>
          <w:sz w:val="24"/>
          <w:szCs w:val="24"/>
        </w:rPr>
        <w:t xml:space="preserve"> 2021</w:t>
      </w:r>
      <w:r w:rsidRPr="00F650B6">
        <w:rPr>
          <w:rFonts w:ascii="Garamond" w:hAnsi="Garamond"/>
          <w:sz w:val="24"/>
          <w:szCs w:val="24"/>
        </w:rPr>
        <w:t xml:space="preserve"> est salué par la majorité des répondants, ils sont aussi une majorité à manifester </w:t>
      </w:r>
      <w:r>
        <w:rPr>
          <w:rFonts w:ascii="Garamond" w:hAnsi="Garamond"/>
          <w:sz w:val="24"/>
          <w:szCs w:val="24"/>
        </w:rPr>
        <w:t>leur confiance vis</w:t>
      </w:r>
      <w:r w:rsidRPr="00F650B6">
        <w:rPr>
          <w:rFonts w:ascii="Garamond" w:hAnsi="Garamond"/>
          <w:sz w:val="24"/>
          <w:szCs w:val="24"/>
        </w:rPr>
        <w:t>-à-vis des nouvelles autorités militaires</w:t>
      </w:r>
      <w:r w:rsidR="0045525D">
        <w:rPr>
          <w:rFonts w:ascii="Garamond" w:hAnsi="Garamond"/>
          <w:sz w:val="24"/>
          <w:szCs w:val="24"/>
        </w:rPr>
        <w:t xml:space="preserve"> (</w:t>
      </w:r>
      <w:r w:rsidRPr="00F650B6">
        <w:rPr>
          <w:rFonts w:ascii="Garamond" w:hAnsi="Garamond"/>
          <w:sz w:val="24"/>
          <w:szCs w:val="24"/>
        </w:rPr>
        <w:t>64,15%</w:t>
      </w:r>
      <w:r w:rsidR="0045525D">
        <w:rPr>
          <w:rFonts w:ascii="Garamond" w:hAnsi="Garamond"/>
          <w:sz w:val="24"/>
          <w:szCs w:val="24"/>
        </w:rPr>
        <w:t>)</w:t>
      </w:r>
      <w:r w:rsidRPr="00F650B6">
        <w:rPr>
          <w:rFonts w:ascii="Garamond" w:hAnsi="Garamond"/>
          <w:sz w:val="24"/>
          <w:szCs w:val="24"/>
        </w:rPr>
        <w:t xml:space="preserve">. </w:t>
      </w:r>
      <w:r w:rsidR="0045525D">
        <w:rPr>
          <w:rFonts w:ascii="Garamond" w:hAnsi="Garamond"/>
          <w:sz w:val="24"/>
          <w:szCs w:val="24"/>
        </w:rPr>
        <w:t>Même si ce chiffre semble massif, la confiance accordée à la junte est relativement tempérée par rapport à l’approbation du coup d’Etat. Par exemple, p</w:t>
      </w:r>
      <w:r w:rsidR="0045525D" w:rsidRPr="00F650B6">
        <w:rPr>
          <w:rFonts w:ascii="Garamond" w:hAnsi="Garamond"/>
          <w:sz w:val="24"/>
          <w:szCs w:val="24"/>
        </w:rPr>
        <w:t>lus du tiers des perso</w:t>
      </w:r>
      <w:r w:rsidR="0045525D">
        <w:rPr>
          <w:rFonts w:ascii="Garamond" w:hAnsi="Garamond"/>
          <w:sz w:val="24"/>
          <w:szCs w:val="24"/>
        </w:rPr>
        <w:t>nnes interrogées (35%) affirme</w:t>
      </w:r>
      <w:r w:rsidR="0045525D" w:rsidRPr="00F650B6">
        <w:rPr>
          <w:rFonts w:ascii="Garamond" w:hAnsi="Garamond"/>
          <w:sz w:val="24"/>
          <w:szCs w:val="24"/>
        </w:rPr>
        <w:t xml:space="preserve"> n’avoir aucune confiance en la junte. </w:t>
      </w:r>
    </w:p>
    <w:p w14:paraId="3E74E366" w14:textId="484DFB01" w:rsidR="0045525D" w:rsidRPr="00F650B6" w:rsidRDefault="0045525D" w:rsidP="0045525D">
      <w:pPr>
        <w:jc w:val="both"/>
        <w:rPr>
          <w:rFonts w:ascii="Garamond" w:hAnsi="Garamond"/>
          <w:sz w:val="24"/>
          <w:szCs w:val="24"/>
        </w:rPr>
      </w:pPr>
      <w:r w:rsidRPr="00F650B6">
        <w:rPr>
          <w:rFonts w:ascii="Garamond" w:hAnsi="Garamond"/>
          <w:sz w:val="24"/>
          <w:szCs w:val="24"/>
        </w:rPr>
        <w:t>Plus spécifiquement, dans les zones à fort taux d’approbation</w:t>
      </w:r>
      <w:r>
        <w:rPr>
          <w:rFonts w:ascii="Garamond" w:hAnsi="Garamond"/>
          <w:sz w:val="24"/>
          <w:szCs w:val="24"/>
        </w:rPr>
        <w:t xml:space="preserve"> du coup d’Etat</w:t>
      </w:r>
      <w:r w:rsidRPr="00F650B6">
        <w:rPr>
          <w:rFonts w:ascii="Garamond" w:hAnsi="Garamond"/>
          <w:sz w:val="24"/>
          <w:szCs w:val="24"/>
        </w:rPr>
        <w:t xml:space="preserve">, le taux de confiance baisse sensiblement. En témoignent les chiffres à Labé (71% contre 91% pour le soutien au coup d’Etat), cet écart est encore plus important à Mamou (55% contre 95%) ou encore la commune de Ratoma (50% contre 88%). A Kankan et à Matam, les taux de confiance accordés sont en deçà de 50%, </w:t>
      </w:r>
      <w:r w:rsidRPr="009E41F0">
        <w:rPr>
          <w:rFonts w:ascii="Garamond" w:hAnsi="Garamond"/>
          <w:sz w:val="24"/>
          <w:szCs w:val="24"/>
        </w:rPr>
        <w:t>respectivement 40% et 40%.</w:t>
      </w:r>
    </w:p>
    <w:p w14:paraId="51C744E6" w14:textId="64AB1A4C" w:rsidR="00834343" w:rsidRDefault="0045525D" w:rsidP="00F650B6">
      <w:pPr>
        <w:jc w:val="both"/>
        <w:rPr>
          <w:rFonts w:ascii="Garamond" w:hAnsi="Garamond"/>
          <w:sz w:val="24"/>
          <w:szCs w:val="24"/>
        </w:rPr>
      </w:pPr>
      <w:r w:rsidRPr="00F650B6">
        <w:rPr>
          <w:rFonts w:ascii="Garamond" w:hAnsi="Garamond"/>
          <w:sz w:val="24"/>
          <w:szCs w:val="24"/>
        </w:rPr>
        <w:t xml:space="preserve">Ces chiffres commandent une certaine prudence dans l’interprétation de la légitimité spontanée dont jouit la junte et appellent à davantage de nuances dans les analyses. D’une part, cela traduira une forme de vigilance et de lucidité de l’opinion politique qui ne se laisse pas aller à son enthousiasme initial et reste d’une certaine façon sur « ses grades » et attend de voir comment l’équipe du Colonel Mamadi Doumbouya va gérer cette transition. D’autre part, on pourrait postuler qu’une frange de l’électorat, probablement plus politisée, veut voir la transition passée assez rapidement pour que son « champion » arrive au pouvoir. </w:t>
      </w:r>
    </w:p>
    <w:p w14:paraId="7703D24E" w14:textId="7D40EE7D" w:rsidR="00AA34D9" w:rsidRPr="00F650B6" w:rsidRDefault="00AA34D9" w:rsidP="00AA34D9">
      <w:pPr>
        <w:pStyle w:val="Titre1"/>
        <w:numPr>
          <w:ilvl w:val="0"/>
          <w:numId w:val="1"/>
        </w:numPr>
        <w:rPr>
          <w:rFonts w:ascii="Garamond" w:hAnsi="Garamond"/>
          <w:sz w:val="28"/>
          <w:szCs w:val="28"/>
        </w:rPr>
      </w:pPr>
      <w:bookmarkStart w:id="10" w:name="_Toc83781937"/>
      <w:r w:rsidRPr="0003713F">
        <w:rPr>
          <w:rFonts w:ascii="Garamond" w:hAnsi="Garamond"/>
          <w:sz w:val="28"/>
          <w:szCs w:val="28"/>
        </w:rPr>
        <w:lastRenderedPageBreak/>
        <w:t>Avez-vous confiance au CNRD ?</w:t>
      </w:r>
      <w:bookmarkEnd w:id="10"/>
    </w:p>
    <w:p w14:paraId="5B641AF7" w14:textId="25D8C1F1" w:rsidR="00AA34D9" w:rsidRPr="00AA34D9" w:rsidRDefault="00AA34D9" w:rsidP="00AA34D9">
      <w:pPr>
        <w:jc w:val="center"/>
      </w:pPr>
      <w:r>
        <w:rPr>
          <w:noProof/>
          <w:lang w:eastAsia="fr-FR"/>
        </w:rPr>
        <w:drawing>
          <wp:inline distT="0" distB="0" distL="0" distR="0" wp14:anchorId="38EA6634" wp14:editId="5DF04D84">
            <wp:extent cx="5821680" cy="2743200"/>
            <wp:effectExtent l="0" t="0" r="762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784D1C" w14:textId="1BEF01D4" w:rsidR="0045525D" w:rsidRPr="007816A9" w:rsidRDefault="007816A9" w:rsidP="00AA34D9">
      <w:pPr>
        <w:pStyle w:val="Titre1"/>
        <w:numPr>
          <w:ilvl w:val="0"/>
          <w:numId w:val="1"/>
        </w:numPr>
        <w:rPr>
          <w:rFonts w:ascii="Garamond" w:hAnsi="Garamond"/>
          <w:sz w:val="28"/>
          <w:szCs w:val="28"/>
        </w:rPr>
      </w:pPr>
      <w:bookmarkStart w:id="11" w:name="_Toc83781938"/>
      <w:r>
        <w:rPr>
          <w:rFonts w:ascii="Garamond" w:hAnsi="Garamond"/>
          <w:sz w:val="28"/>
          <w:szCs w:val="28"/>
        </w:rPr>
        <w:t>La</w:t>
      </w:r>
      <w:r w:rsidR="0045525D" w:rsidRPr="0003713F">
        <w:rPr>
          <w:rFonts w:ascii="Garamond" w:hAnsi="Garamond"/>
          <w:sz w:val="28"/>
          <w:szCs w:val="28"/>
        </w:rPr>
        <w:t xml:space="preserve"> confiance au CNRD</w:t>
      </w:r>
      <w:r>
        <w:rPr>
          <w:rFonts w:ascii="Garamond" w:hAnsi="Garamond"/>
          <w:sz w:val="28"/>
          <w:szCs w:val="28"/>
        </w:rPr>
        <w:t xml:space="preserve"> selon la zone de résidence</w:t>
      </w:r>
      <w:r w:rsidR="0045525D" w:rsidRPr="0003713F">
        <w:rPr>
          <w:rFonts w:ascii="Garamond" w:hAnsi="Garamond"/>
          <w:sz w:val="28"/>
          <w:szCs w:val="28"/>
        </w:rPr>
        <w:t xml:space="preserve"> ?</w:t>
      </w:r>
      <w:bookmarkEnd w:id="11"/>
    </w:p>
    <w:p w14:paraId="512FC1AB" w14:textId="5E4717D4" w:rsidR="00834343" w:rsidRDefault="00AA34D9" w:rsidP="008B321B">
      <w:pPr>
        <w:jc w:val="both"/>
        <w:rPr>
          <w:rFonts w:ascii="Garamond" w:hAnsi="Garamond"/>
          <w:sz w:val="24"/>
          <w:szCs w:val="24"/>
        </w:rPr>
      </w:pPr>
      <w:r>
        <w:rPr>
          <w:noProof/>
          <w:lang w:eastAsia="fr-FR"/>
        </w:rPr>
        <w:drawing>
          <wp:inline distT="0" distB="0" distL="0" distR="0" wp14:anchorId="40C0BF85" wp14:editId="14C900C8">
            <wp:extent cx="5756275" cy="3302000"/>
            <wp:effectExtent l="0" t="0" r="15875" b="1270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BF0A67" w14:textId="22880672" w:rsidR="00834343" w:rsidRPr="00FE1037" w:rsidRDefault="00834343" w:rsidP="00FE1037">
      <w:pPr>
        <w:pStyle w:val="Paragraphedeliste"/>
        <w:numPr>
          <w:ilvl w:val="0"/>
          <w:numId w:val="3"/>
        </w:numPr>
        <w:jc w:val="both"/>
        <w:rPr>
          <w:rFonts w:ascii="Garamond" w:hAnsi="Garamond"/>
          <w:b/>
          <w:sz w:val="24"/>
          <w:szCs w:val="24"/>
        </w:rPr>
      </w:pPr>
      <w:r w:rsidRPr="00FE1037">
        <w:rPr>
          <w:rFonts w:ascii="Garamond" w:hAnsi="Garamond"/>
          <w:b/>
          <w:sz w:val="24"/>
          <w:szCs w:val="24"/>
        </w:rPr>
        <w:t xml:space="preserve">Une majorité de Guinéens favorable à une transition </w:t>
      </w:r>
      <w:r w:rsidR="00FE1037">
        <w:rPr>
          <w:rFonts w:ascii="Garamond" w:hAnsi="Garamond"/>
          <w:b/>
          <w:sz w:val="24"/>
          <w:szCs w:val="24"/>
        </w:rPr>
        <w:t>d’un an..</w:t>
      </w:r>
      <w:r w:rsidRPr="00FE1037">
        <w:rPr>
          <w:rFonts w:ascii="Garamond" w:hAnsi="Garamond"/>
          <w:b/>
          <w:sz w:val="24"/>
          <w:szCs w:val="24"/>
        </w:rPr>
        <w:t>.</w:t>
      </w:r>
    </w:p>
    <w:p w14:paraId="3BA231D8" w14:textId="51E67473" w:rsidR="00FE1037" w:rsidRDefault="00FE1037" w:rsidP="00FE1037">
      <w:pPr>
        <w:jc w:val="both"/>
        <w:rPr>
          <w:rFonts w:ascii="Garamond" w:hAnsi="Garamond" w:cs="Times New Roman"/>
          <w:sz w:val="24"/>
          <w:szCs w:val="24"/>
        </w:rPr>
      </w:pPr>
      <w:r>
        <w:rPr>
          <w:rFonts w:ascii="Garamond" w:hAnsi="Garamond" w:cs="Times New Roman"/>
          <w:sz w:val="24"/>
          <w:szCs w:val="24"/>
        </w:rPr>
        <w:t xml:space="preserve">Après des </w:t>
      </w:r>
      <w:r w:rsidRPr="00C57E4B">
        <w:rPr>
          <w:rFonts w:ascii="Garamond" w:hAnsi="Garamond" w:cs="Times New Roman"/>
          <w:sz w:val="24"/>
          <w:szCs w:val="24"/>
        </w:rPr>
        <w:t>semaines de</w:t>
      </w:r>
      <w:r>
        <w:rPr>
          <w:rFonts w:ascii="Garamond" w:hAnsi="Garamond" w:cs="Times New Roman"/>
          <w:sz w:val="24"/>
          <w:szCs w:val="24"/>
        </w:rPr>
        <w:t xml:space="preserve"> </w:t>
      </w:r>
      <w:r w:rsidRPr="00C57E4B">
        <w:rPr>
          <w:rFonts w:ascii="Garamond" w:hAnsi="Garamond" w:cs="Times New Roman"/>
          <w:sz w:val="24"/>
          <w:szCs w:val="24"/>
        </w:rPr>
        <w:t>la prise du pouvoir par le CNRD, aucun calendrier n’indique la durée de la transition.</w:t>
      </w:r>
      <w:r>
        <w:rPr>
          <w:rFonts w:ascii="Garamond" w:hAnsi="Garamond" w:cs="Times New Roman"/>
          <w:sz w:val="24"/>
          <w:szCs w:val="24"/>
        </w:rPr>
        <w:t xml:space="preserve"> Dans la foulée, le CNRD a organisé depuis des « Journées de concertations » avec les forces vives de la Nation en vue de recueillir les avis des organisations et des acteurs sur la transition. La charte de la transition, rendue publique, lundi 27 septembre 2</w:t>
      </w:r>
      <w:r w:rsidR="001C7D69">
        <w:rPr>
          <w:rFonts w:ascii="Garamond" w:hAnsi="Garamond" w:cs="Times New Roman"/>
          <w:sz w:val="24"/>
          <w:szCs w:val="24"/>
        </w:rPr>
        <w:t>021, indique en son article 77 que</w:t>
      </w:r>
      <w:r>
        <w:rPr>
          <w:rFonts w:ascii="Garamond" w:hAnsi="Garamond" w:cs="Times New Roman"/>
          <w:sz w:val="24"/>
          <w:szCs w:val="24"/>
        </w:rPr>
        <w:t xml:space="preserve"> « </w:t>
      </w:r>
      <w:r w:rsidR="001C7D69">
        <w:rPr>
          <w:rFonts w:ascii="Garamond" w:hAnsi="Garamond" w:cs="Times New Roman"/>
          <w:sz w:val="24"/>
          <w:szCs w:val="24"/>
        </w:rPr>
        <w:t>la durée de la transition sera fixée de commun accord entre les forces vives de la Nation et le Comité National du Rassemblement pour le Développement (CNRD) ».</w:t>
      </w:r>
    </w:p>
    <w:p w14:paraId="4FC81656" w14:textId="77BC4791" w:rsidR="001F0E70" w:rsidRDefault="001C7D69" w:rsidP="00FE1037">
      <w:pPr>
        <w:jc w:val="both"/>
        <w:rPr>
          <w:rFonts w:ascii="Garamond" w:hAnsi="Garamond"/>
          <w:sz w:val="24"/>
          <w:szCs w:val="24"/>
        </w:rPr>
      </w:pPr>
      <w:r>
        <w:rPr>
          <w:rFonts w:ascii="Garamond" w:hAnsi="Garamond" w:cs="Times New Roman"/>
          <w:sz w:val="24"/>
          <w:szCs w:val="24"/>
        </w:rPr>
        <w:lastRenderedPageBreak/>
        <w:t>L’Association Guinéenne de Sciences politiques a posé la question aux Guinéens sur leur préférence en termes de durée.</w:t>
      </w:r>
      <w:r>
        <w:rPr>
          <w:rFonts w:ascii="Garamond" w:hAnsi="Garamond"/>
          <w:sz w:val="24"/>
          <w:szCs w:val="24"/>
        </w:rPr>
        <w:t xml:space="preserve"> A l’item</w:t>
      </w:r>
      <w:r w:rsidR="00FE1037">
        <w:rPr>
          <w:rFonts w:ascii="Garamond" w:hAnsi="Garamond"/>
          <w:sz w:val="24"/>
          <w:szCs w:val="24"/>
        </w:rPr>
        <w:t xml:space="preserve"> </w:t>
      </w:r>
      <w:r w:rsidR="00A85B79">
        <w:rPr>
          <w:rFonts w:ascii="Garamond" w:hAnsi="Garamond"/>
          <w:sz w:val="24"/>
          <w:szCs w:val="24"/>
        </w:rPr>
        <w:t>‘’</w:t>
      </w:r>
      <w:r w:rsidR="00FE1037">
        <w:rPr>
          <w:rFonts w:ascii="Garamond" w:hAnsi="Garamond"/>
          <w:sz w:val="24"/>
          <w:szCs w:val="24"/>
        </w:rPr>
        <w:t>quelle devrait être</w:t>
      </w:r>
      <w:r w:rsidR="001F0E70">
        <w:rPr>
          <w:rFonts w:ascii="Garamond" w:hAnsi="Garamond"/>
          <w:sz w:val="24"/>
          <w:szCs w:val="24"/>
        </w:rPr>
        <w:t>,</w:t>
      </w:r>
      <w:r w:rsidR="00FE1037">
        <w:rPr>
          <w:rFonts w:ascii="Garamond" w:hAnsi="Garamond"/>
          <w:sz w:val="24"/>
          <w:szCs w:val="24"/>
        </w:rPr>
        <w:t xml:space="preserve"> selon vous</w:t>
      </w:r>
      <w:r w:rsidR="001F0E70">
        <w:rPr>
          <w:rFonts w:ascii="Garamond" w:hAnsi="Garamond"/>
          <w:sz w:val="24"/>
          <w:szCs w:val="24"/>
        </w:rPr>
        <w:t>,</w:t>
      </w:r>
      <w:r w:rsidR="00FE1037">
        <w:rPr>
          <w:rFonts w:ascii="Garamond" w:hAnsi="Garamond"/>
          <w:sz w:val="24"/>
          <w:szCs w:val="24"/>
        </w:rPr>
        <w:t xml:space="preserve"> la durée de la transition ?</w:t>
      </w:r>
      <w:r w:rsidR="00A85B79">
        <w:rPr>
          <w:rFonts w:ascii="Garamond" w:hAnsi="Garamond"/>
          <w:sz w:val="24"/>
          <w:szCs w:val="24"/>
        </w:rPr>
        <w:t>’’</w:t>
      </w:r>
      <w:r w:rsidR="00FE1037">
        <w:rPr>
          <w:rFonts w:ascii="Garamond" w:hAnsi="Garamond"/>
          <w:sz w:val="24"/>
          <w:szCs w:val="24"/>
        </w:rPr>
        <w:t xml:space="preserve"> Plus de la moitié des personnes interrogées (52,11%) estime qu’elle ne devrait pas excéder plus d’un an. </w:t>
      </w:r>
      <w:r w:rsidR="001F0E70">
        <w:rPr>
          <w:rFonts w:ascii="Garamond" w:hAnsi="Garamond"/>
          <w:sz w:val="24"/>
          <w:szCs w:val="24"/>
        </w:rPr>
        <w:t>Cette frange est répartie entre ceux qui pensent qu’il faudra une transition d’un an (27,51%) et les autres, près d’un quart des sondés, qui suggèrent une transition de moins d’un an (24,60%). Un deuxième grand bloc, représentant près de la moitié des répondants (47,89%), estime que la durée d’une bonne transition doit être deux ans voire plus.</w:t>
      </w:r>
    </w:p>
    <w:p w14:paraId="77980A43" w14:textId="77777777" w:rsidR="00076162" w:rsidRDefault="001F0E70" w:rsidP="001F0E70">
      <w:pPr>
        <w:jc w:val="both"/>
        <w:rPr>
          <w:rFonts w:ascii="Garamond" w:hAnsi="Garamond"/>
          <w:sz w:val="24"/>
          <w:szCs w:val="24"/>
        </w:rPr>
      </w:pPr>
      <w:r>
        <w:rPr>
          <w:rFonts w:ascii="Garamond" w:hAnsi="Garamond"/>
          <w:sz w:val="24"/>
          <w:szCs w:val="24"/>
        </w:rPr>
        <w:t xml:space="preserve"> En termes géographiques, les personnes interrogées souhaitant une transition courte, c’est-à-dire n’excédant pas un an, se retrouvent dans des zones à la fois favorable</w:t>
      </w:r>
      <w:r w:rsidR="00076162">
        <w:rPr>
          <w:rFonts w:ascii="Garamond" w:hAnsi="Garamond"/>
          <w:sz w:val="24"/>
          <w:szCs w:val="24"/>
        </w:rPr>
        <w:t>s</w:t>
      </w:r>
      <w:r>
        <w:rPr>
          <w:rFonts w:ascii="Garamond" w:hAnsi="Garamond"/>
          <w:sz w:val="24"/>
          <w:szCs w:val="24"/>
        </w:rPr>
        <w:t xml:space="preserve"> à l’opposition politique au Président déchu</w:t>
      </w:r>
      <w:r w:rsidR="00076162">
        <w:rPr>
          <w:rFonts w:ascii="Garamond" w:hAnsi="Garamond"/>
          <w:sz w:val="24"/>
          <w:szCs w:val="24"/>
        </w:rPr>
        <w:t xml:space="preserve"> (Labé (67%) ou Mamou (50%)) mais aussi dans celles qu’on pourrait considérer comme des chasses-gardés du pouvoir d’Alpha Condé (Kankan (75%) et Matam (100%)). </w:t>
      </w:r>
    </w:p>
    <w:p w14:paraId="619AD025" w14:textId="44980A8F" w:rsidR="00350C85" w:rsidRDefault="00076162" w:rsidP="00076162">
      <w:pPr>
        <w:jc w:val="both"/>
        <w:rPr>
          <w:rFonts w:ascii="Garamond" w:hAnsi="Garamond"/>
          <w:sz w:val="24"/>
          <w:szCs w:val="24"/>
        </w:rPr>
      </w:pPr>
      <w:r>
        <w:rPr>
          <w:rFonts w:ascii="Garamond" w:hAnsi="Garamond"/>
          <w:sz w:val="24"/>
          <w:szCs w:val="24"/>
        </w:rPr>
        <w:t xml:space="preserve">Par ailleurs, des zones comme Faranah (77%), Kindia (53%) et NZérékoré (70%), </w:t>
      </w:r>
      <w:r w:rsidR="008A7BAF">
        <w:rPr>
          <w:rFonts w:ascii="Garamond" w:hAnsi="Garamond"/>
          <w:sz w:val="24"/>
          <w:szCs w:val="24"/>
        </w:rPr>
        <w:t xml:space="preserve">peu </w:t>
      </w:r>
      <w:r>
        <w:rPr>
          <w:rFonts w:ascii="Garamond" w:hAnsi="Garamond"/>
          <w:sz w:val="24"/>
          <w:szCs w:val="24"/>
        </w:rPr>
        <w:t>polarisé</w:t>
      </w:r>
      <w:r w:rsidR="008A7BAF">
        <w:rPr>
          <w:rFonts w:ascii="Garamond" w:hAnsi="Garamond"/>
          <w:sz w:val="24"/>
          <w:szCs w:val="24"/>
        </w:rPr>
        <w:t>e</w:t>
      </w:r>
      <w:r>
        <w:rPr>
          <w:rFonts w:ascii="Garamond" w:hAnsi="Garamond"/>
          <w:sz w:val="24"/>
          <w:szCs w:val="24"/>
        </w:rPr>
        <w:t>s par rapport aux zones citées</w:t>
      </w:r>
      <w:r w:rsidR="008A7BAF">
        <w:rPr>
          <w:rFonts w:ascii="Garamond" w:hAnsi="Garamond"/>
          <w:sz w:val="24"/>
          <w:szCs w:val="24"/>
        </w:rPr>
        <w:t>,</w:t>
      </w:r>
      <w:r>
        <w:rPr>
          <w:rFonts w:ascii="Garamond" w:hAnsi="Garamond"/>
          <w:sz w:val="24"/>
          <w:szCs w:val="24"/>
        </w:rPr>
        <w:t xml:space="preserve"> sont favorables à une transition plus longue.</w:t>
      </w:r>
    </w:p>
    <w:p w14:paraId="72E95C2A" w14:textId="35F3B4AC" w:rsidR="001F0E70" w:rsidRDefault="00076162" w:rsidP="00076162">
      <w:pPr>
        <w:jc w:val="both"/>
        <w:rPr>
          <w:rFonts w:ascii="Garamond" w:hAnsi="Garamond"/>
          <w:sz w:val="24"/>
          <w:szCs w:val="24"/>
        </w:rPr>
      </w:pPr>
      <w:r>
        <w:rPr>
          <w:rFonts w:ascii="Garamond" w:hAnsi="Garamond"/>
          <w:sz w:val="24"/>
          <w:szCs w:val="24"/>
        </w:rPr>
        <w:t xml:space="preserve">Ces chiffres montrent une appétence pour une organisation rapide des élections de la part d’une partie de l’opinion. Celle qui correspond aux deux anciens </w:t>
      </w:r>
      <w:r w:rsidR="008A7BAF">
        <w:rPr>
          <w:rFonts w:ascii="Garamond" w:hAnsi="Garamond"/>
          <w:sz w:val="24"/>
          <w:szCs w:val="24"/>
        </w:rPr>
        <w:t xml:space="preserve">grands </w:t>
      </w:r>
      <w:r>
        <w:rPr>
          <w:rFonts w:ascii="Garamond" w:hAnsi="Garamond"/>
          <w:sz w:val="24"/>
          <w:szCs w:val="24"/>
        </w:rPr>
        <w:t>partis forts lors de la présidence d’Alpha Condé (UFDG, RPG-Arc).</w:t>
      </w:r>
    </w:p>
    <w:p w14:paraId="7EAC5AEE" w14:textId="1117F7D4" w:rsidR="00AA34D9" w:rsidRPr="00076162" w:rsidRDefault="00AA34D9" w:rsidP="00AA34D9">
      <w:pPr>
        <w:pStyle w:val="Titre1"/>
        <w:numPr>
          <w:ilvl w:val="0"/>
          <w:numId w:val="1"/>
        </w:numPr>
        <w:rPr>
          <w:rFonts w:ascii="Garamond" w:hAnsi="Garamond"/>
          <w:sz w:val="28"/>
          <w:szCs w:val="28"/>
        </w:rPr>
      </w:pPr>
      <w:bookmarkStart w:id="12" w:name="_Toc83781939"/>
      <w:r w:rsidRPr="0003713F">
        <w:rPr>
          <w:rFonts w:ascii="Garamond" w:hAnsi="Garamond"/>
          <w:sz w:val="28"/>
          <w:szCs w:val="28"/>
        </w:rPr>
        <w:t>Quelle devrait être selon vous la durée de la transition ?</w:t>
      </w:r>
      <w:bookmarkEnd w:id="12"/>
    </w:p>
    <w:p w14:paraId="6CB34F3C" w14:textId="11C9CBD4" w:rsidR="00F30879" w:rsidRDefault="00AA34D9" w:rsidP="00F30879">
      <w:r>
        <w:rPr>
          <w:noProof/>
          <w:lang w:eastAsia="fr-FR"/>
        </w:rPr>
        <w:drawing>
          <wp:inline distT="0" distB="0" distL="0" distR="0" wp14:anchorId="789FD3BA" wp14:editId="0525D95B">
            <wp:extent cx="5709237" cy="2743200"/>
            <wp:effectExtent l="0" t="0" r="635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CFD855" w14:textId="57563721" w:rsidR="004A1DB3" w:rsidRDefault="004A1DB3" w:rsidP="00F30879"/>
    <w:p w14:paraId="218DC136" w14:textId="5639EE63" w:rsidR="008B321B" w:rsidRDefault="008B321B" w:rsidP="00F30879"/>
    <w:p w14:paraId="077B2788" w14:textId="1AA83E89" w:rsidR="008B321B" w:rsidRDefault="008B321B" w:rsidP="00F30879"/>
    <w:p w14:paraId="4373D51A" w14:textId="3C1D974C" w:rsidR="008B321B" w:rsidRDefault="008B321B" w:rsidP="00F30879"/>
    <w:p w14:paraId="56421513" w14:textId="77777777" w:rsidR="00570E3F" w:rsidRDefault="00570E3F" w:rsidP="00F30879"/>
    <w:p w14:paraId="5147675D" w14:textId="3B553F90" w:rsidR="008B321B" w:rsidRDefault="008B321B" w:rsidP="00F30879"/>
    <w:p w14:paraId="50745CEA" w14:textId="77777777" w:rsidR="008B321B" w:rsidRPr="00F30879" w:rsidRDefault="008B321B" w:rsidP="00F30879"/>
    <w:p w14:paraId="609ED8AE" w14:textId="333A5D8E" w:rsidR="008A7BAF" w:rsidRPr="007816A9" w:rsidRDefault="008A7BAF" w:rsidP="008A7BAF">
      <w:pPr>
        <w:pStyle w:val="Titre1"/>
        <w:numPr>
          <w:ilvl w:val="0"/>
          <w:numId w:val="1"/>
        </w:numPr>
        <w:rPr>
          <w:rFonts w:ascii="Garamond" w:hAnsi="Garamond"/>
          <w:sz w:val="28"/>
          <w:szCs w:val="28"/>
        </w:rPr>
      </w:pPr>
      <w:bookmarkStart w:id="13" w:name="_Toc83781940"/>
      <w:r>
        <w:rPr>
          <w:rFonts w:ascii="Garamond" w:hAnsi="Garamond"/>
          <w:sz w:val="28"/>
          <w:szCs w:val="28"/>
        </w:rPr>
        <w:lastRenderedPageBreak/>
        <w:t>La</w:t>
      </w:r>
      <w:r w:rsidRPr="0003713F">
        <w:rPr>
          <w:rFonts w:ascii="Garamond" w:hAnsi="Garamond"/>
          <w:sz w:val="28"/>
          <w:szCs w:val="28"/>
        </w:rPr>
        <w:t xml:space="preserve"> </w:t>
      </w:r>
      <w:r>
        <w:rPr>
          <w:rFonts w:ascii="Garamond" w:hAnsi="Garamond"/>
          <w:sz w:val="28"/>
          <w:szCs w:val="28"/>
        </w:rPr>
        <w:t>durée de la transition selon la zone de résidence</w:t>
      </w:r>
      <w:r w:rsidRPr="0003713F">
        <w:rPr>
          <w:rFonts w:ascii="Garamond" w:hAnsi="Garamond"/>
          <w:sz w:val="28"/>
          <w:szCs w:val="28"/>
        </w:rPr>
        <w:t xml:space="preserve"> ?</w:t>
      </w:r>
      <w:bookmarkEnd w:id="13"/>
    </w:p>
    <w:p w14:paraId="34D36B7A" w14:textId="77777777" w:rsidR="00AA34D9" w:rsidRPr="00AA34D9" w:rsidRDefault="00AA34D9" w:rsidP="00AA34D9">
      <w:pPr>
        <w:jc w:val="both"/>
        <w:rPr>
          <w:rFonts w:ascii="Garamond" w:hAnsi="Garamond" w:cs="Times New Roman"/>
          <w:sz w:val="2"/>
          <w:szCs w:val="24"/>
        </w:rPr>
      </w:pPr>
    </w:p>
    <w:p w14:paraId="3C4DC0B8" w14:textId="3ADCC26C" w:rsidR="00350C85" w:rsidRPr="008B321B" w:rsidRDefault="00AA34D9" w:rsidP="008B321B">
      <w:pPr>
        <w:jc w:val="center"/>
        <w:rPr>
          <w:rFonts w:ascii="Garamond" w:hAnsi="Garamond"/>
          <w:sz w:val="24"/>
          <w:szCs w:val="24"/>
        </w:rPr>
      </w:pPr>
      <w:r>
        <w:rPr>
          <w:noProof/>
          <w:lang w:eastAsia="fr-FR"/>
        </w:rPr>
        <w:drawing>
          <wp:inline distT="0" distB="0" distL="0" distR="0" wp14:anchorId="29EE5C70" wp14:editId="1267CD44">
            <wp:extent cx="5777346" cy="2743200"/>
            <wp:effectExtent l="0" t="0" r="1397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E71442" w14:textId="4875B438" w:rsidR="00350C85" w:rsidRPr="00350C85" w:rsidRDefault="00350C85" w:rsidP="00350C85">
      <w:pPr>
        <w:pStyle w:val="Paragraphedeliste"/>
        <w:numPr>
          <w:ilvl w:val="0"/>
          <w:numId w:val="3"/>
        </w:numPr>
        <w:rPr>
          <w:rFonts w:ascii="Garamond" w:hAnsi="Garamond"/>
          <w:sz w:val="28"/>
          <w:szCs w:val="28"/>
        </w:rPr>
      </w:pPr>
      <w:r w:rsidRPr="00350C85">
        <w:rPr>
          <w:rFonts w:ascii="Garamond" w:hAnsi="Garamond"/>
          <w:b/>
          <w:sz w:val="24"/>
          <w:szCs w:val="24"/>
        </w:rPr>
        <w:t>Un</w:t>
      </w:r>
      <w:r>
        <w:rPr>
          <w:rFonts w:ascii="Garamond" w:hAnsi="Garamond"/>
          <w:b/>
          <w:sz w:val="24"/>
          <w:szCs w:val="24"/>
        </w:rPr>
        <w:t xml:space="preserve"> pro</w:t>
      </w:r>
      <w:r w:rsidR="00F5099B">
        <w:rPr>
          <w:rFonts w:ascii="Garamond" w:hAnsi="Garamond"/>
          <w:b/>
          <w:sz w:val="24"/>
          <w:szCs w:val="24"/>
        </w:rPr>
        <w:t>fil « politique » choisi comme Premier m</w:t>
      </w:r>
      <w:r>
        <w:rPr>
          <w:rFonts w:ascii="Garamond" w:hAnsi="Garamond"/>
          <w:b/>
          <w:sz w:val="24"/>
          <w:szCs w:val="24"/>
        </w:rPr>
        <w:t>inistre</w:t>
      </w:r>
    </w:p>
    <w:p w14:paraId="329D6B78" w14:textId="00182C59" w:rsidR="00350C85" w:rsidRPr="00C726AB" w:rsidRDefault="00350C85" w:rsidP="00C726AB">
      <w:pPr>
        <w:jc w:val="both"/>
        <w:rPr>
          <w:rFonts w:ascii="Garamond" w:hAnsi="Garamond"/>
          <w:sz w:val="24"/>
          <w:szCs w:val="24"/>
        </w:rPr>
      </w:pPr>
      <w:r>
        <w:rPr>
          <w:rFonts w:ascii="Garamond" w:hAnsi="Garamond"/>
          <w:sz w:val="24"/>
          <w:szCs w:val="24"/>
        </w:rPr>
        <w:t>Plus de 45% des personnes interrogées privilégient un profil dit « politique » pour diriger le</w:t>
      </w:r>
      <w:r w:rsidR="006B6979">
        <w:rPr>
          <w:rFonts w:ascii="Garamond" w:hAnsi="Garamond"/>
          <w:sz w:val="24"/>
          <w:szCs w:val="24"/>
        </w:rPr>
        <w:t xml:space="preserve"> gouvernement de la transition contre 26, 31% par un militaire ou encore 15,46% par un religieux. Quant aux autres types de profils – technocrates, diplomates, personnalité de la société civile…–</w:t>
      </w:r>
      <w:r w:rsidR="00C726AB">
        <w:rPr>
          <w:rFonts w:ascii="Garamond" w:hAnsi="Garamond"/>
          <w:sz w:val="24"/>
          <w:szCs w:val="24"/>
        </w:rPr>
        <w:t xml:space="preserve"> rassemblés sou le vocable « autres », ils ne recueillent que 15,46%.</w:t>
      </w:r>
    </w:p>
    <w:p w14:paraId="77F24BF6" w14:textId="305A089E" w:rsidR="00AA34D9" w:rsidRPr="00350C85" w:rsidRDefault="00AA34D9" w:rsidP="00AA34D9">
      <w:pPr>
        <w:pStyle w:val="Titre1"/>
        <w:numPr>
          <w:ilvl w:val="0"/>
          <w:numId w:val="1"/>
        </w:numPr>
        <w:rPr>
          <w:rFonts w:ascii="Garamond" w:hAnsi="Garamond"/>
          <w:sz w:val="28"/>
          <w:szCs w:val="28"/>
        </w:rPr>
      </w:pPr>
      <w:bookmarkStart w:id="14" w:name="_Toc83781941"/>
      <w:r w:rsidRPr="008A7BAF">
        <w:rPr>
          <w:rFonts w:ascii="Garamond" w:hAnsi="Garamond"/>
          <w:sz w:val="28"/>
          <w:szCs w:val="28"/>
        </w:rPr>
        <w:t>Pour vous, quel profil devrait mieux conduire le Gouvernement de la transition ?</w:t>
      </w:r>
      <w:bookmarkEnd w:id="14"/>
    </w:p>
    <w:p w14:paraId="25592244" w14:textId="77777777" w:rsidR="00AA34D9" w:rsidRDefault="00AA34D9" w:rsidP="00AA34D9">
      <w:r>
        <w:rPr>
          <w:noProof/>
          <w:lang w:eastAsia="fr-FR"/>
        </w:rPr>
        <w:drawing>
          <wp:inline distT="0" distB="0" distL="0" distR="0" wp14:anchorId="6076F717" wp14:editId="4C80C689">
            <wp:extent cx="5716921" cy="2743200"/>
            <wp:effectExtent l="0" t="0" r="17145"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15BBDB" w14:textId="5120FE0D" w:rsidR="00C726AB" w:rsidRDefault="00C726AB" w:rsidP="00AA34D9">
      <w:pPr>
        <w:jc w:val="both"/>
        <w:rPr>
          <w:rFonts w:ascii="Garamond" w:hAnsi="Garamond"/>
          <w:sz w:val="24"/>
          <w:szCs w:val="24"/>
        </w:rPr>
      </w:pPr>
      <w:r>
        <w:rPr>
          <w:rFonts w:ascii="Garamond" w:hAnsi="Garamond"/>
          <w:sz w:val="24"/>
          <w:szCs w:val="24"/>
        </w:rPr>
        <w:t>L’une des leçons tirées de cette étude, c’est la relative politisation des e</w:t>
      </w:r>
      <w:r w:rsidR="00F5099B">
        <w:rPr>
          <w:rFonts w:ascii="Garamond" w:hAnsi="Garamond"/>
          <w:sz w:val="24"/>
          <w:szCs w:val="24"/>
        </w:rPr>
        <w:t>sprits dans l’opinion publique.</w:t>
      </w:r>
    </w:p>
    <w:p w14:paraId="575289E1" w14:textId="16C89E2E" w:rsidR="00C726AB" w:rsidRPr="00CB6C41" w:rsidRDefault="00C726AB" w:rsidP="00CB6C41">
      <w:pPr>
        <w:jc w:val="both"/>
        <w:rPr>
          <w:rFonts w:ascii="Garamond" w:hAnsi="Garamond"/>
          <w:sz w:val="24"/>
          <w:szCs w:val="24"/>
        </w:rPr>
      </w:pPr>
      <w:r>
        <w:rPr>
          <w:noProof/>
          <w:lang w:eastAsia="fr-FR"/>
        </w:rPr>
        <w:lastRenderedPageBreak/>
        <w:drawing>
          <wp:inline distT="0" distB="0" distL="0" distR="0" wp14:anchorId="395F688C" wp14:editId="1C3A9129">
            <wp:extent cx="5742710" cy="2743200"/>
            <wp:effectExtent l="0" t="0" r="1079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0F546D" w14:textId="374C7431" w:rsidR="00AA34D9" w:rsidRPr="007816A9" w:rsidRDefault="00AA34D9" w:rsidP="004A1DB3">
      <w:pPr>
        <w:pStyle w:val="Titre1"/>
        <w:numPr>
          <w:ilvl w:val="0"/>
          <w:numId w:val="1"/>
        </w:numPr>
        <w:rPr>
          <w:rFonts w:ascii="Garamond" w:hAnsi="Garamond"/>
          <w:sz w:val="28"/>
          <w:szCs w:val="28"/>
        </w:rPr>
      </w:pPr>
      <w:bookmarkStart w:id="15" w:name="_Toc83781942"/>
      <w:r w:rsidRPr="007816A9">
        <w:rPr>
          <w:rFonts w:ascii="Garamond" w:hAnsi="Garamond"/>
          <w:sz w:val="28"/>
          <w:szCs w:val="28"/>
        </w:rPr>
        <w:t>A quoi devrait servir le cadre de concertation ?</w:t>
      </w:r>
      <w:bookmarkEnd w:id="15"/>
    </w:p>
    <w:p w14:paraId="3B26C139" w14:textId="77777777" w:rsidR="00AA34D9" w:rsidRPr="004A1DB3" w:rsidRDefault="00AA34D9" w:rsidP="00AA34D9">
      <w:pPr>
        <w:rPr>
          <w:sz w:val="2"/>
        </w:rPr>
      </w:pPr>
    </w:p>
    <w:p w14:paraId="58CF8990" w14:textId="77777777" w:rsidR="00AA34D9" w:rsidRDefault="00AA34D9" w:rsidP="00AA34D9">
      <w:r>
        <w:rPr>
          <w:noProof/>
          <w:lang w:eastAsia="fr-FR"/>
        </w:rPr>
        <w:drawing>
          <wp:inline distT="0" distB="0" distL="0" distR="0" wp14:anchorId="7F27B2E0" wp14:editId="72E749EB">
            <wp:extent cx="5724605" cy="2743200"/>
            <wp:effectExtent l="0" t="0" r="9525"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416729" w14:textId="77777777" w:rsidR="00E5658A" w:rsidRPr="00251A5D" w:rsidRDefault="00E5658A" w:rsidP="00AA34D9">
      <w:pPr>
        <w:jc w:val="both"/>
        <w:rPr>
          <w:rFonts w:ascii="Garamond" w:hAnsi="Garamond"/>
          <w:sz w:val="4"/>
          <w:szCs w:val="24"/>
        </w:rPr>
      </w:pPr>
    </w:p>
    <w:p w14:paraId="5F05E48C" w14:textId="05408245" w:rsidR="00E5658A" w:rsidRDefault="00E5658A" w:rsidP="00AA34D9">
      <w:pPr>
        <w:jc w:val="both"/>
        <w:rPr>
          <w:rFonts w:ascii="Garamond" w:hAnsi="Garamond"/>
          <w:sz w:val="24"/>
          <w:szCs w:val="24"/>
        </w:rPr>
      </w:pPr>
      <w:r>
        <w:rPr>
          <w:rFonts w:ascii="Garamond" w:hAnsi="Garamond"/>
          <w:sz w:val="24"/>
          <w:szCs w:val="24"/>
        </w:rPr>
        <w:t xml:space="preserve">Le CNRD, </w:t>
      </w:r>
      <w:r w:rsidR="00AA34D9" w:rsidRPr="00750559">
        <w:rPr>
          <w:rFonts w:ascii="Garamond" w:hAnsi="Garamond"/>
          <w:sz w:val="24"/>
          <w:szCs w:val="24"/>
        </w:rPr>
        <w:t>après la prise du pouvoir</w:t>
      </w:r>
      <w:r>
        <w:rPr>
          <w:rFonts w:ascii="Garamond" w:hAnsi="Garamond"/>
          <w:sz w:val="24"/>
          <w:szCs w:val="24"/>
        </w:rPr>
        <w:t>, a entamé</w:t>
      </w:r>
      <w:r w:rsidR="00AA34D9" w:rsidRPr="00750559">
        <w:rPr>
          <w:rFonts w:ascii="Garamond" w:hAnsi="Garamond"/>
          <w:sz w:val="24"/>
          <w:szCs w:val="24"/>
        </w:rPr>
        <w:t xml:space="preserve"> une série de concertation</w:t>
      </w:r>
      <w:r>
        <w:rPr>
          <w:rFonts w:ascii="Garamond" w:hAnsi="Garamond"/>
          <w:sz w:val="24"/>
          <w:szCs w:val="24"/>
        </w:rPr>
        <w:t>s</w:t>
      </w:r>
      <w:r w:rsidR="00AA34D9" w:rsidRPr="00750559">
        <w:rPr>
          <w:rFonts w:ascii="Garamond" w:hAnsi="Garamond"/>
          <w:sz w:val="24"/>
          <w:szCs w:val="24"/>
        </w:rPr>
        <w:t xml:space="preserve"> avec les acteurs sociopolitiques,</w:t>
      </w:r>
      <w:r w:rsidR="00F5099B">
        <w:rPr>
          <w:rFonts w:ascii="Garamond" w:hAnsi="Garamond"/>
          <w:sz w:val="24"/>
          <w:szCs w:val="24"/>
        </w:rPr>
        <w:t xml:space="preserve"> les magistrats, les fonctionnaires, </w:t>
      </w:r>
      <w:r w:rsidR="00F5099B" w:rsidRPr="00750559">
        <w:rPr>
          <w:rFonts w:ascii="Garamond" w:hAnsi="Garamond"/>
          <w:sz w:val="24"/>
          <w:szCs w:val="24"/>
        </w:rPr>
        <w:t>les</w:t>
      </w:r>
      <w:r w:rsidR="00AA34D9" w:rsidRPr="00750559">
        <w:rPr>
          <w:rFonts w:ascii="Garamond" w:hAnsi="Garamond"/>
          <w:sz w:val="24"/>
          <w:szCs w:val="24"/>
        </w:rPr>
        <w:t xml:space="preserve"> acteurs économiques</w:t>
      </w:r>
      <w:r>
        <w:rPr>
          <w:rFonts w:ascii="Garamond" w:hAnsi="Garamond"/>
          <w:sz w:val="24"/>
          <w:szCs w:val="24"/>
        </w:rPr>
        <w:t xml:space="preserve"> et les diplomates. Dans cette étude</w:t>
      </w:r>
      <w:r w:rsidR="00AA34D9" w:rsidRPr="00750559">
        <w:rPr>
          <w:rFonts w:ascii="Garamond" w:hAnsi="Garamond"/>
          <w:sz w:val="24"/>
          <w:szCs w:val="24"/>
        </w:rPr>
        <w:t>, nous avons interrogé les citoyens sur l’impor</w:t>
      </w:r>
      <w:r w:rsidR="00F5099B">
        <w:rPr>
          <w:rFonts w:ascii="Garamond" w:hAnsi="Garamond"/>
          <w:sz w:val="24"/>
          <w:szCs w:val="24"/>
        </w:rPr>
        <w:t>tance du cadre de concertation.</w:t>
      </w:r>
    </w:p>
    <w:p w14:paraId="62967350" w14:textId="77777777" w:rsidR="00066077" w:rsidRDefault="00E5658A" w:rsidP="00AA34D9">
      <w:pPr>
        <w:jc w:val="both"/>
        <w:rPr>
          <w:rFonts w:ascii="Garamond" w:hAnsi="Garamond"/>
          <w:sz w:val="24"/>
          <w:szCs w:val="24"/>
        </w:rPr>
      </w:pPr>
      <w:r>
        <w:rPr>
          <w:rFonts w:ascii="Garamond" w:hAnsi="Garamond"/>
          <w:sz w:val="24"/>
          <w:szCs w:val="24"/>
        </w:rPr>
        <w:t xml:space="preserve">Pour </w:t>
      </w:r>
      <w:r w:rsidR="00AA34D9" w:rsidRPr="00750559">
        <w:rPr>
          <w:rFonts w:ascii="Garamond" w:hAnsi="Garamond"/>
          <w:sz w:val="24"/>
          <w:szCs w:val="24"/>
        </w:rPr>
        <w:t>43,07% des répondants</w:t>
      </w:r>
      <w:r>
        <w:rPr>
          <w:rFonts w:ascii="Garamond" w:hAnsi="Garamond"/>
          <w:sz w:val="24"/>
          <w:szCs w:val="24"/>
        </w:rPr>
        <w:t xml:space="preserve">, </w:t>
      </w:r>
      <w:r w:rsidR="00AA34D9" w:rsidRPr="00750559">
        <w:rPr>
          <w:rFonts w:ascii="Garamond" w:hAnsi="Garamond"/>
          <w:sz w:val="24"/>
          <w:szCs w:val="24"/>
        </w:rPr>
        <w:t>le cadre de concertation de</w:t>
      </w:r>
      <w:r>
        <w:rPr>
          <w:rFonts w:ascii="Garamond" w:hAnsi="Garamond"/>
          <w:sz w:val="24"/>
          <w:szCs w:val="24"/>
        </w:rPr>
        <w:t>vrait servir à réconcilier les G</w:t>
      </w:r>
      <w:r w:rsidR="00AA34D9" w:rsidRPr="00750559">
        <w:rPr>
          <w:rFonts w:ascii="Garamond" w:hAnsi="Garamond"/>
          <w:sz w:val="24"/>
          <w:szCs w:val="24"/>
        </w:rPr>
        <w:t>uinéens</w:t>
      </w:r>
      <w:r>
        <w:rPr>
          <w:rFonts w:ascii="Garamond" w:hAnsi="Garamond"/>
          <w:sz w:val="24"/>
          <w:szCs w:val="24"/>
        </w:rPr>
        <w:t xml:space="preserve"> contre 40,8% pour</w:t>
      </w:r>
      <w:r w:rsidR="005B5A81">
        <w:rPr>
          <w:rFonts w:ascii="Garamond" w:hAnsi="Garamond"/>
          <w:sz w:val="24"/>
          <w:szCs w:val="24"/>
        </w:rPr>
        <w:t xml:space="preserve"> préparer les élections. Les autres items portant sur la nouvelle Constitution (12,6%) ou « autres » ne recueillent que 16,06%.</w:t>
      </w:r>
      <w:r w:rsidR="00066077">
        <w:rPr>
          <w:rFonts w:ascii="Garamond" w:hAnsi="Garamond"/>
          <w:sz w:val="24"/>
          <w:szCs w:val="24"/>
        </w:rPr>
        <w:t xml:space="preserve"> </w:t>
      </w:r>
      <w:r w:rsidR="005B5A81">
        <w:rPr>
          <w:rFonts w:ascii="Garamond" w:hAnsi="Garamond"/>
          <w:sz w:val="24"/>
          <w:szCs w:val="24"/>
        </w:rPr>
        <w:t>Plus de huit Guinéens sur dix (83,15 %) privilégient la q</w:t>
      </w:r>
      <w:r w:rsidR="00066077">
        <w:rPr>
          <w:rFonts w:ascii="Garamond" w:hAnsi="Garamond"/>
          <w:sz w:val="24"/>
          <w:szCs w:val="24"/>
        </w:rPr>
        <w:t>uestion de la réconciliation nat</w:t>
      </w:r>
      <w:r w:rsidR="005B5A81">
        <w:rPr>
          <w:rFonts w:ascii="Garamond" w:hAnsi="Garamond"/>
          <w:sz w:val="24"/>
          <w:szCs w:val="24"/>
        </w:rPr>
        <w:t>ionale</w:t>
      </w:r>
      <w:r w:rsidR="00066077">
        <w:rPr>
          <w:rFonts w:ascii="Garamond" w:hAnsi="Garamond"/>
          <w:sz w:val="24"/>
          <w:szCs w:val="24"/>
        </w:rPr>
        <w:t xml:space="preserve"> et celle des </w:t>
      </w:r>
      <w:r w:rsidR="005B5A81">
        <w:rPr>
          <w:rFonts w:ascii="Garamond" w:hAnsi="Garamond"/>
          <w:sz w:val="24"/>
          <w:szCs w:val="24"/>
        </w:rPr>
        <w:t xml:space="preserve">élections </w:t>
      </w:r>
      <w:r w:rsidR="00066077">
        <w:rPr>
          <w:rFonts w:ascii="Garamond" w:hAnsi="Garamond"/>
          <w:sz w:val="24"/>
          <w:szCs w:val="24"/>
        </w:rPr>
        <w:t xml:space="preserve">apaisées et démocratiques. </w:t>
      </w:r>
    </w:p>
    <w:p w14:paraId="54442D5E" w14:textId="250D0F6E" w:rsidR="00251A5D" w:rsidRDefault="00066077" w:rsidP="00AA34D9">
      <w:pPr>
        <w:jc w:val="both"/>
        <w:rPr>
          <w:rFonts w:ascii="Garamond" w:hAnsi="Garamond"/>
          <w:sz w:val="24"/>
          <w:szCs w:val="24"/>
        </w:rPr>
      </w:pPr>
      <w:r>
        <w:rPr>
          <w:rFonts w:ascii="Garamond" w:hAnsi="Garamond"/>
          <w:sz w:val="24"/>
          <w:szCs w:val="24"/>
        </w:rPr>
        <w:t>Cette majorité absolue des Guinéens éclaire d’un jour nouveau les aspirations du peuple de Guinée dans cette phase transitionnelle dans notre pays. Les autres vocations du cadre de concertation - tenant à</w:t>
      </w:r>
      <w:r w:rsidR="00AA34D9" w:rsidRPr="00750559">
        <w:rPr>
          <w:rFonts w:ascii="Garamond" w:hAnsi="Garamond"/>
          <w:sz w:val="24"/>
          <w:szCs w:val="24"/>
        </w:rPr>
        <w:t xml:space="preserve"> la mise en place d’un Gouvernement de transition, une justice </w:t>
      </w:r>
      <w:r w:rsidR="00AA34D9" w:rsidRPr="00750559">
        <w:rPr>
          <w:rFonts w:ascii="Garamond" w:hAnsi="Garamond"/>
          <w:sz w:val="24"/>
          <w:szCs w:val="24"/>
        </w:rPr>
        <w:lastRenderedPageBreak/>
        <w:t>transitionnelle, des bases du développement, de la démocratie et du progrès, la mise en place d’une feuille de route pour la transition</w:t>
      </w:r>
      <w:r>
        <w:rPr>
          <w:rFonts w:ascii="Garamond" w:hAnsi="Garamond"/>
          <w:sz w:val="24"/>
          <w:szCs w:val="24"/>
        </w:rPr>
        <w:t xml:space="preserve"> – ne sont pas mises en avant</w:t>
      </w:r>
      <w:r w:rsidR="00AA34D9" w:rsidRPr="00750559">
        <w:rPr>
          <w:rFonts w:ascii="Garamond" w:hAnsi="Garamond"/>
          <w:sz w:val="24"/>
          <w:szCs w:val="24"/>
        </w:rPr>
        <w:t>.</w:t>
      </w:r>
    </w:p>
    <w:p w14:paraId="50FA6475" w14:textId="0115BCF7" w:rsidR="00251A5D" w:rsidRDefault="00251A5D" w:rsidP="008B321B">
      <w:pPr>
        <w:pStyle w:val="Titre1"/>
        <w:numPr>
          <w:ilvl w:val="0"/>
          <w:numId w:val="1"/>
        </w:numPr>
        <w:rPr>
          <w:rFonts w:ascii="Garamond" w:hAnsi="Garamond"/>
          <w:sz w:val="28"/>
          <w:szCs w:val="28"/>
        </w:rPr>
      </w:pPr>
      <w:bookmarkStart w:id="16" w:name="_Toc83781943"/>
      <w:r w:rsidRPr="00251A5D">
        <w:rPr>
          <w:rFonts w:ascii="Garamond" w:hAnsi="Garamond"/>
          <w:sz w:val="28"/>
          <w:szCs w:val="28"/>
        </w:rPr>
        <w:t>Détail méthodologique</w:t>
      </w:r>
      <w:bookmarkEnd w:id="16"/>
    </w:p>
    <w:p w14:paraId="3C4646B4" w14:textId="18030AEF" w:rsidR="00251A5D" w:rsidRPr="00C64049" w:rsidRDefault="00251A5D" w:rsidP="00251A5D">
      <w:pPr>
        <w:spacing w:after="0"/>
        <w:jc w:val="both"/>
        <w:rPr>
          <w:rFonts w:ascii="Garamond" w:hAnsi="Garamond"/>
          <w:sz w:val="24"/>
          <w:szCs w:val="24"/>
        </w:rPr>
      </w:pPr>
      <w:r w:rsidRPr="00C64049">
        <w:rPr>
          <w:rFonts w:ascii="Garamond" w:hAnsi="Garamond"/>
          <w:sz w:val="24"/>
          <w:szCs w:val="24"/>
        </w:rPr>
        <w:t>L’enquête a été co</w:t>
      </w:r>
      <w:r w:rsidR="00C64049" w:rsidRPr="00C64049">
        <w:rPr>
          <w:rFonts w:ascii="Garamond" w:hAnsi="Garamond"/>
          <w:sz w:val="24"/>
          <w:szCs w:val="24"/>
        </w:rPr>
        <w:t>nduite du 13 au 16 Septembre 2021</w:t>
      </w:r>
      <w:r w:rsidRPr="00C64049">
        <w:rPr>
          <w:rFonts w:ascii="Garamond" w:hAnsi="Garamond"/>
          <w:sz w:val="24"/>
          <w:szCs w:val="24"/>
        </w:rPr>
        <w:t xml:space="preserve">. Elle s’est appuyée sur un </w:t>
      </w:r>
      <w:r w:rsidRPr="00CB6C41">
        <w:rPr>
          <w:rFonts w:ascii="Garamond" w:hAnsi="Garamond"/>
          <w:b/>
          <w:sz w:val="24"/>
          <w:szCs w:val="24"/>
          <w:u w:val="single"/>
        </w:rPr>
        <w:t xml:space="preserve">échantillon </w:t>
      </w:r>
      <w:r w:rsidR="00C64049" w:rsidRPr="00CB6C41">
        <w:rPr>
          <w:rFonts w:ascii="Garamond" w:hAnsi="Garamond"/>
          <w:b/>
          <w:sz w:val="24"/>
          <w:szCs w:val="24"/>
          <w:u w:val="single"/>
        </w:rPr>
        <w:t>empirique raisonné</w:t>
      </w:r>
      <w:r w:rsidR="00CB6C41">
        <w:rPr>
          <w:rStyle w:val="Appelnotedebasdep"/>
          <w:rFonts w:ascii="Garamond" w:hAnsi="Garamond"/>
          <w:sz w:val="24"/>
          <w:szCs w:val="24"/>
        </w:rPr>
        <w:footnoteReference w:id="1"/>
      </w:r>
      <w:r w:rsidR="00C64049" w:rsidRPr="00C64049">
        <w:rPr>
          <w:rFonts w:ascii="Garamond" w:hAnsi="Garamond"/>
          <w:sz w:val="24"/>
          <w:szCs w:val="24"/>
        </w:rPr>
        <w:t xml:space="preserve"> composé de 10</w:t>
      </w:r>
      <w:r w:rsidRPr="00C64049">
        <w:rPr>
          <w:rFonts w:ascii="Garamond" w:hAnsi="Garamond"/>
          <w:sz w:val="24"/>
          <w:szCs w:val="24"/>
        </w:rPr>
        <w:t xml:space="preserve">00 personnes en âge de voter et s’est basée sur </w:t>
      </w:r>
      <w:r w:rsidRPr="00CB6C41">
        <w:rPr>
          <w:rFonts w:ascii="Garamond" w:hAnsi="Garamond"/>
          <w:b/>
          <w:sz w:val="24"/>
          <w:szCs w:val="24"/>
          <w:u w:val="single"/>
        </w:rPr>
        <w:t xml:space="preserve">la méthode </w:t>
      </w:r>
      <w:r w:rsidR="00C64049" w:rsidRPr="00CB6C41">
        <w:rPr>
          <w:rFonts w:ascii="Garamond" w:hAnsi="Garamond"/>
          <w:b/>
          <w:sz w:val="24"/>
          <w:szCs w:val="24"/>
          <w:u w:val="single"/>
        </w:rPr>
        <w:t>des itinéraires</w:t>
      </w:r>
      <w:r w:rsidRPr="00C64049">
        <w:rPr>
          <w:rFonts w:ascii="Garamond" w:hAnsi="Garamond"/>
          <w:sz w:val="24"/>
          <w:szCs w:val="24"/>
        </w:rPr>
        <w:t xml:space="preserve">. La répartition du fichier électoral </w:t>
      </w:r>
      <w:r w:rsidR="008B321B">
        <w:rPr>
          <w:rFonts w:ascii="Garamond" w:hAnsi="Garamond"/>
          <w:sz w:val="24"/>
          <w:szCs w:val="24"/>
        </w:rPr>
        <w:t xml:space="preserve">du dernier recensement </w:t>
      </w:r>
      <w:r w:rsidR="00C64049" w:rsidRPr="00C64049">
        <w:rPr>
          <w:rFonts w:ascii="Garamond" w:hAnsi="Garamond"/>
          <w:sz w:val="24"/>
          <w:szCs w:val="24"/>
        </w:rPr>
        <w:t xml:space="preserve">de la CENI a été utilisée afin </w:t>
      </w:r>
      <w:r w:rsidRPr="00C64049">
        <w:rPr>
          <w:rFonts w:ascii="Garamond" w:hAnsi="Garamond"/>
          <w:sz w:val="24"/>
          <w:szCs w:val="24"/>
        </w:rPr>
        <w:t>de construire des quotas centrés sur les données disponi</w:t>
      </w:r>
      <w:r w:rsidR="008B321B">
        <w:rPr>
          <w:rFonts w:ascii="Garamond" w:hAnsi="Garamond"/>
          <w:sz w:val="24"/>
          <w:szCs w:val="24"/>
        </w:rPr>
        <w:t>bles et utilisables (</w:t>
      </w:r>
      <w:r w:rsidR="008B321B" w:rsidRPr="00C64049">
        <w:rPr>
          <w:rFonts w:ascii="Garamond" w:hAnsi="Garamond"/>
          <w:sz w:val="24"/>
          <w:szCs w:val="24"/>
        </w:rPr>
        <w:t>communes</w:t>
      </w:r>
      <w:r w:rsidR="00C64049" w:rsidRPr="00C64049">
        <w:rPr>
          <w:rFonts w:ascii="Garamond" w:hAnsi="Garamond"/>
          <w:sz w:val="24"/>
          <w:szCs w:val="24"/>
        </w:rPr>
        <w:t xml:space="preserve"> de résidence</w:t>
      </w:r>
      <w:r w:rsidRPr="00C64049">
        <w:rPr>
          <w:rFonts w:ascii="Garamond" w:hAnsi="Garamond"/>
          <w:sz w:val="24"/>
          <w:szCs w:val="24"/>
        </w:rPr>
        <w:t>).</w:t>
      </w:r>
    </w:p>
    <w:p w14:paraId="3CFCD928" w14:textId="4CAC9F63" w:rsidR="00251A5D" w:rsidRPr="00C64049" w:rsidRDefault="00251A5D" w:rsidP="00251A5D">
      <w:pPr>
        <w:spacing w:after="0"/>
        <w:jc w:val="both"/>
        <w:rPr>
          <w:rFonts w:ascii="Garamond" w:hAnsi="Garamond"/>
          <w:sz w:val="24"/>
          <w:szCs w:val="24"/>
        </w:rPr>
      </w:pPr>
      <w:r w:rsidRPr="00C64049">
        <w:rPr>
          <w:rFonts w:ascii="Garamond" w:hAnsi="Garamond"/>
          <w:sz w:val="24"/>
          <w:szCs w:val="24"/>
        </w:rPr>
        <w:t>Les terrains de réalisation de cette enquête d’opinion sont le</w:t>
      </w:r>
      <w:r w:rsidR="00C64049" w:rsidRPr="00C64049">
        <w:rPr>
          <w:rFonts w:ascii="Garamond" w:hAnsi="Garamond"/>
          <w:sz w:val="24"/>
          <w:szCs w:val="24"/>
        </w:rPr>
        <w:t>s communes urbaines des régions administratives</w:t>
      </w:r>
      <w:r w:rsidRPr="00C64049">
        <w:rPr>
          <w:rFonts w:ascii="Garamond" w:hAnsi="Garamond"/>
          <w:sz w:val="24"/>
          <w:szCs w:val="24"/>
        </w:rPr>
        <w:t xml:space="preserve"> de Boké, Faranah, Kankan, Kindia, Labé, Mamou,</w:t>
      </w:r>
      <w:r w:rsidR="00C64049" w:rsidRPr="00C64049">
        <w:rPr>
          <w:rFonts w:ascii="Garamond" w:hAnsi="Garamond"/>
          <w:sz w:val="24"/>
          <w:szCs w:val="24"/>
        </w:rPr>
        <w:t xml:space="preserve"> N’Zérékoré et la zone spéciale de Conakry</w:t>
      </w:r>
      <w:r w:rsidRPr="00C64049">
        <w:rPr>
          <w:rFonts w:ascii="Garamond" w:hAnsi="Garamond"/>
          <w:sz w:val="24"/>
          <w:szCs w:val="24"/>
        </w:rPr>
        <w:t>.</w:t>
      </w:r>
    </w:p>
    <w:p w14:paraId="2F3B2FAA" w14:textId="3077BADB" w:rsidR="00C64049" w:rsidRPr="00C64049" w:rsidRDefault="00C64049" w:rsidP="00C64049">
      <w:pPr>
        <w:spacing w:after="0"/>
        <w:jc w:val="both"/>
        <w:rPr>
          <w:rFonts w:ascii="Garamond" w:hAnsi="Garamond"/>
          <w:sz w:val="24"/>
          <w:szCs w:val="24"/>
        </w:rPr>
      </w:pPr>
      <w:r w:rsidRPr="00C64049">
        <w:rPr>
          <w:rFonts w:ascii="Garamond" w:hAnsi="Garamond"/>
          <w:sz w:val="24"/>
          <w:szCs w:val="24"/>
        </w:rPr>
        <w:t>996</w:t>
      </w:r>
      <w:r w:rsidR="00251A5D" w:rsidRPr="00C64049">
        <w:rPr>
          <w:rFonts w:ascii="Garamond" w:hAnsi="Garamond"/>
          <w:sz w:val="24"/>
          <w:szCs w:val="24"/>
        </w:rPr>
        <w:t xml:space="preserve"> questionnaires exploit</w:t>
      </w:r>
      <w:r w:rsidRPr="00C64049">
        <w:rPr>
          <w:rFonts w:ascii="Garamond" w:hAnsi="Garamond"/>
          <w:sz w:val="24"/>
          <w:szCs w:val="24"/>
        </w:rPr>
        <w:t>ables ont été administrés par 42</w:t>
      </w:r>
      <w:r w:rsidR="00251A5D" w:rsidRPr="00C64049">
        <w:rPr>
          <w:rFonts w:ascii="Garamond" w:hAnsi="Garamond"/>
          <w:sz w:val="24"/>
          <w:szCs w:val="24"/>
        </w:rPr>
        <w:t xml:space="preserve"> en</w:t>
      </w:r>
      <w:r w:rsidRPr="00C64049">
        <w:rPr>
          <w:rFonts w:ascii="Garamond" w:hAnsi="Garamond"/>
          <w:sz w:val="24"/>
          <w:szCs w:val="24"/>
        </w:rPr>
        <w:t xml:space="preserve">quêteurs sous le contrôle de 12 </w:t>
      </w:r>
      <w:r w:rsidR="00251A5D" w:rsidRPr="00C64049">
        <w:rPr>
          <w:rFonts w:ascii="Garamond" w:hAnsi="Garamond"/>
          <w:sz w:val="24"/>
          <w:szCs w:val="24"/>
        </w:rPr>
        <w:t>superviseurs responsables d’équipe et deux coordinateurs</w:t>
      </w:r>
      <w:r w:rsidRPr="00C64049">
        <w:rPr>
          <w:rFonts w:ascii="Garamond" w:hAnsi="Garamond"/>
          <w:sz w:val="24"/>
          <w:szCs w:val="24"/>
        </w:rPr>
        <w:t>.</w:t>
      </w:r>
    </w:p>
    <w:p w14:paraId="7BEEBFC2" w14:textId="05EC5732" w:rsidR="00251A5D" w:rsidRDefault="00251A5D" w:rsidP="00251A5D">
      <w:pPr>
        <w:spacing w:after="0"/>
        <w:jc w:val="both"/>
        <w:rPr>
          <w:rFonts w:ascii="Garamond" w:hAnsi="Garamond"/>
          <w:sz w:val="24"/>
          <w:szCs w:val="24"/>
        </w:rPr>
      </w:pPr>
      <w:r w:rsidRPr="00C64049">
        <w:rPr>
          <w:rFonts w:ascii="Garamond" w:hAnsi="Garamond"/>
          <w:sz w:val="24"/>
          <w:szCs w:val="24"/>
        </w:rPr>
        <w:t>Le profil des sondés tel qu’il est apparu en utilisant les quo</w:t>
      </w:r>
      <w:r w:rsidR="00C64049">
        <w:rPr>
          <w:rFonts w:ascii="Garamond" w:hAnsi="Garamond"/>
          <w:sz w:val="24"/>
          <w:szCs w:val="24"/>
        </w:rPr>
        <w:t>tas selon les communes et</w:t>
      </w:r>
      <w:r w:rsidR="008B321B">
        <w:rPr>
          <w:rFonts w:ascii="Garamond" w:hAnsi="Garamond"/>
          <w:sz w:val="24"/>
          <w:szCs w:val="24"/>
        </w:rPr>
        <w:t xml:space="preserve"> les</w:t>
      </w:r>
      <w:r w:rsidR="00C64049">
        <w:rPr>
          <w:rFonts w:ascii="Garamond" w:hAnsi="Garamond"/>
          <w:sz w:val="24"/>
          <w:szCs w:val="24"/>
        </w:rPr>
        <w:t xml:space="preserve"> quartiers et la </w:t>
      </w:r>
      <w:r w:rsidRPr="00C64049">
        <w:rPr>
          <w:rFonts w:ascii="Garamond" w:hAnsi="Garamond"/>
          <w:sz w:val="24"/>
          <w:szCs w:val="24"/>
        </w:rPr>
        <w:t>méthode</w:t>
      </w:r>
      <w:r w:rsidR="008B321B">
        <w:rPr>
          <w:rFonts w:ascii="Garamond" w:hAnsi="Garamond"/>
          <w:sz w:val="24"/>
          <w:szCs w:val="24"/>
        </w:rPr>
        <w:t xml:space="preserve"> des itinéraires est le suivant :</w:t>
      </w:r>
    </w:p>
    <w:p w14:paraId="0F87C871" w14:textId="77777777" w:rsidR="00CB6C41" w:rsidRPr="00CB6C41" w:rsidRDefault="00CB6C41" w:rsidP="00251A5D">
      <w:pPr>
        <w:spacing w:after="0"/>
        <w:jc w:val="both"/>
        <w:rPr>
          <w:rFonts w:ascii="Garamond" w:hAnsi="Garamond"/>
          <w:sz w:val="12"/>
          <w:szCs w:val="24"/>
        </w:rPr>
      </w:pPr>
    </w:p>
    <w:p w14:paraId="113F6C64" w14:textId="5DBA09AD" w:rsidR="00251A5D" w:rsidRPr="00CB6C41" w:rsidRDefault="00251A5D" w:rsidP="00CB6C41">
      <w:pPr>
        <w:spacing w:line="240" w:lineRule="auto"/>
        <w:rPr>
          <w:rFonts w:ascii="Garamond" w:hAnsi="Garamond"/>
          <w:b/>
          <w:sz w:val="24"/>
          <w:szCs w:val="24"/>
        </w:rPr>
      </w:pPr>
      <w:r w:rsidRPr="00CB6C41">
        <w:rPr>
          <w:rFonts w:ascii="Garamond" w:hAnsi="Garamond"/>
          <w:b/>
          <w:sz w:val="24"/>
          <w:szCs w:val="24"/>
        </w:rPr>
        <w:t xml:space="preserve">- Origine géographique </w:t>
      </w:r>
      <w:r w:rsidR="00E2586A">
        <w:rPr>
          <w:rFonts w:ascii="Garamond" w:hAnsi="Garamond"/>
          <w:b/>
          <w:sz w:val="24"/>
          <w:szCs w:val="24"/>
        </w:rPr>
        <w:t>des répondant</w:t>
      </w:r>
      <w:r w:rsidR="008B321B">
        <w:rPr>
          <w:rFonts w:ascii="Garamond" w:hAnsi="Garamond"/>
          <w:b/>
          <w:sz w:val="24"/>
          <w:szCs w:val="24"/>
        </w:rPr>
        <w:t>s</w:t>
      </w:r>
      <w:r w:rsidR="00E2586A" w:rsidRPr="00CB6C41">
        <w:rPr>
          <w:rFonts w:ascii="Garamond" w:hAnsi="Garamond"/>
          <w:b/>
          <w:sz w:val="24"/>
          <w:szCs w:val="24"/>
        </w:rPr>
        <w:t xml:space="preserve"> :</w:t>
      </w:r>
    </w:p>
    <w:p w14:paraId="7C0310E1" w14:textId="77777777" w:rsidR="00C64049" w:rsidRPr="00C64049" w:rsidRDefault="00C64049" w:rsidP="00C64049">
      <w:pPr>
        <w:autoSpaceDE w:val="0"/>
        <w:autoSpaceDN w:val="0"/>
        <w:adjustRightInd w:val="0"/>
        <w:spacing w:after="0" w:line="240" w:lineRule="auto"/>
        <w:rPr>
          <w:rFonts w:ascii="Times New Roman" w:hAnsi="Times New Roman" w:cs="Times New Roman"/>
          <w:sz w:val="2"/>
          <w:szCs w:val="24"/>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215"/>
        <w:gridCol w:w="1658"/>
        <w:gridCol w:w="1843"/>
        <w:gridCol w:w="1842"/>
        <w:gridCol w:w="1843"/>
      </w:tblGrid>
      <w:tr w:rsidR="00C64049" w:rsidRPr="00C64049" w14:paraId="7C992E23" w14:textId="77777777" w:rsidTr="00CB6C41">
        <w:trPr>
          <w:cantSplit/>
        </w:trPr>
        <w:tc>
          <w:tcPr>
            <w:tcW w:w="9214" w:type="dxa"/>
            <w:gridSpan w:val="6"/>
            <w:tcBorders>
              <w:top w:val="nil"/>
              <w:left w:val="nil"/>
              <w:bottom w:val="nil"/>
              <w:right w:val="nil"/>
            </w:tcBorders>
            <w:shd w:val="clear" w:color="auto" w:fill="FFFFFF"/>
            <w:vAlign w:val="center"/>
          </w:tcPr>
          <w:p w14:paraId="1CAB8EFD" w14:textId="77777777" w:rsidR="00C64049" w:rsidRPr="00C64049" w:rsidRDefault="00C64049" w:rsidP="00C64049">
            <w:pPr>
              <w:autoSpaceDE w:val="0"/>
              <w:autoSpaceDN w:val="0"/>
              <w:adjustRightInd w:val="0"/>
              <w:spacing w:after="0" w:line="320" w:lineRule="atLeast"/>
              <w:ind w:left="60" w:right="60"/>
              <w:jc w:val="center"/>
              <w:rPr>
                <w:rFonts w:ascii="Garamond" w:hAnsi="Garamond" w:cs="Arial"/>
                <w:color w:val="010205"/>
              </w:rPr>
            </w:pPr>
            <w:r w:rsidRPr="00C64049">
              <w:rPr>
                <w:rFonts w:ascii="Garamond" w:hAnsi="Garamond" w:cs="Arial"/>
                <w:b/>
                <w:bCs/>
                <w:color w:val="010205"/>
              </w:rPr>
              <w:t>Communes</w:t>
            </w:r>
          </w:p>
        </w:tc>
      </w:tr>
      <w:tr w:rsidR="00C64049" w:rsidRPr="00C64049" w14:paraId="3F4BF21A" w14:textId="77777777" w:rsidTr="00CB6C41">
        <w:trPr>
          <w:cantSplit/>
        </w:trPr>
        <w:tc>
          <w:tcPr>
            <w:tcW w:w="2028" w:type="dxa"/>
            <w:gridSpan w:val="2"/>
            <w:tcBorders>
              <w:top w:val="nil"/>
              <w:left w:val="nil"/>
              <w:bottom w:val="single" w:sz="8" w:space="0" w:color="152935"/>
              <w:right w:val="nil"/>
            </w:tcBorders>
            <w:shd w:val="clear" w:color="auto" w:fill="FFFFFF"/>
            <w:vAlign w:val="bottom"/>
          </w:tcPr>
          <w:p w14:paraId="1B8BF7B1" w14:textId="77777777" w:rsidR="00C64049" w:rsidRPr="00C64049" w:rsidRDefault="00C64049" w:rsidP="00C64049">
            <w:pPr>
              <w:autoSpaceDE w:val="0"/>
              <w:autoSpaceDN w:val="0"/>
              <w:adjustRightInd w:val="0"/>
              <w:spacing w:after="0" w:line="240" w:lineRule="auto"/>
              <w:rPr>
                <w:rFonts w:ascii="Garamond" w:hAnsi="Garamond" w:cs="Times New Roman"/>
                <w:sz w:val="24"/>
                <w:szCs w:val="24"/>
              </w:rPr>
            </w:pPr>
          </w:p>
        </w:tc>
        <w:tc>
          <w:tcPr>
            <w:tcW w:w="1658" w:type="dxa"/>
            <w:tcBorders>
              <w:top w:val="nil"/>
              <w:left w:val="nil"/>
              <w:bottom w:val="single" w:sz="8" w:space="0" w:color="152935"/>
              <w:right w:val="single" w:sz="8" w:space="0" w:color="E0E0E0"/>
            </w:tcBorders>
            <w:shd w:val="clear" w:color="auto" w:fill="FFFFFF"/>
            <w:vAlign w:val="bottom"/>
          </w:tcPr>
          <w:p w14:paraId="63AA0842" w14:textId="77777777" w:rsidR="00C64049" w:rsidRPr="00C64049" w:rsidRDefault="00C64049" w:rsidP="00C64049">
            <w:pPr>
              <w:autoSpaceDE w:val="0"/>
              <w:autoSpaceDN w:val="0"/>
              <w:adjustRightInd w:val="0"/>
              <w:spacing w:after="0" w:line="320" w:lineRule="atLeast"/>
              <w:ind w:left="60" w:right="60"/>
              <w:jc w:val="center"/>
              <w:rPr>
                <w:rFonts w:ascii="Garamond" w:hAnsi="Garamond" w:cs="Arial"/>
                <w:color w:val="264A60"/>
                <w:sz w:val="18"/>
                <w:szCs w:val="18"/>
              </w:rPr>
            </w:pPr>
            <w:r w:rsidRPr="00C64049">
              <w:rPr>
                <w:rFonts w:ascii="Garamond" w:hAnsi="Garamond" w:cs="Arial"/>
                <w:color w:val="264A60"/>
                <w:sz w:val="18"/>
                <w:szCs w:val="18"/>
              </w:rPr>
              <w:t>Fréquence</w:t>
            </w:r>
          </w:p>
        </w:tc>
        <w:tc>
          <w:tcPr>
            <w:tcW w:w="1843" w:type="dxa"/>
            <w:tcBorders>
              <w:top w:val="nil"/>
              <w:left w:val="single" w:sz="8" w:space="0" w:color="E0E0E0"/>
              <w:bottom w:val="single" w:sz="8" w:space="0" w:color="152935"/>
              <w:right w:val="single" w:sz="8" w:space="0" w:color="E0E0E0"/>
            </w:tcBorders>
            <w:shd w:val="clear" w:color="auto" w:fill="FFFFFF"/>
            <w:vAlign w:val="bottom"/>
          </w:tcPr>
          <w:p w14:paraId="0D0BA658" w14:textId="77777777" w:rsidR="00C64049" w:rsidRPr="00C64049" w:rsidRDefault="00C64049" w:rsidP="00C64049">
            <w:pPr>
              <w:autoSpaceDE w:val="0"/>
              <w:autoSpaceDN w:val="0"/>
              <w:adjustRightInd w:val="0"/>
              <w:spacing w:after="0" w:line="320" w:lineRule="atLeast"/>
              <w:ind w:left="60" w:right="60"/>
              <w:jc w:val="center"/>
              <w:rPr>
                <w:rFonts w:ascii="Garamond" w:hAnsi="Garamond" w:cs="Arial"/>
                <w:color w:val="264A60"/>
                <w:sz w:val="18"/>
                <w:szCs w:val="18"/>
              </w:rPr>
            </w:pPr>
            <w:r w:rsidRPr="00C64049">
              <w:rPr>
                <w:rFonts w:ascii="Garamond" w:hAnsi="Garamond" w:cs="Arial"/>
                <w:color w:val="264A60"/>
                <w:sz w:val="18"/>
                <w:szCs w:val="18"/>
              </w:rPr>
              <w:t>Pourcentage</w:t>
            </w:r>
          </w:p>
        </w:tc>
        <w:tc>
          <w:tcPr>
            <w:tcW w:w="1842" w:type="dxa"/>
            <w:tcBorders>
              <w:top w:val="nil"/>
              <w:left w:val="single" w:sz="8" w:space="0" w:color="E0E0E0"/>
              <w:bottom w:val="single" w:sz="8" w:space="0" w:color="152935"/>
              <w:right w:val="single" w:sz="8" w:space="0" w:color="E0E0E0"/>
            </w:tcBorders>
            <w:shd w:val="clear" w:color="auto" w:fill="FFFFFF"/>
            <w:vAlign w:val="bottom"/>
          </w:tcPr>
          <w:p w14:paraId="12F933B2" w14:textId="77777777" w:rsidR="00C64049" w:rsidRPr="00C64049" w:rsidRDefault="00C64049" w:rsidP="00C64049">
            <w:pPr>
              <w:autoSpaceDE w:val="0"/>
              <w:autoSpaceDN w:val="0"/>
              <w:adjustRightInd w:val="0"/>
              <w:spacing w:after="0" w:line="320" w:lineRule="atLeast"/>
              <w:ind w:left="60" w:right="60"/>
              <w:jc w:val="center"/>
              <w:rPr>
                <w:rFonts w:ascii="Garamond" w:hAnsi="Garamond" w:cs="Arial"/>
                <w:color w:val="264A60"/>
                <w:sz w:val="18"/>
                <w:szCs w:val="18"/>
              </w:rPr>
            </w:pPr>
            <w:r w:rsidRPr="00C64049">
              <w:rPr>
                <w:rFonts w:ascii="Garamond" w:hAnsi="Garamond" w:cs="Arial"/>
                <w:color w:val="264A60"/>
                <w:sz w:val="18"/>
                <w:szCs w:val="18"/>
              </w:rPr>
              <w:t>Pourcentage valide</w:t>
            </w:r>
          </w:p>
        </w:tc>
        <w:tc>
          <w:tcPr>
            <w:tcW w:w="1843" w:type="dxa"/>
            <w:tcBorders>
              <w:top w:val="nil"/>
              <w:left w:val="single" w:sz="8" w:space="0" w:color="E0E0E0"/>
              <w:bottom w:val="single" w:sz="8" w:space="0" w:color="152935"/>
              <w:right w:val="nil"/>
            </w:tcBorders>
            <w:shd w:val="clear" w:color="auto" w:fill="FFFFFF"/>
            <w:vAlign w:val="bottom"/>
          </w:tcPr>
          <w:p w14:paraId="7D40F034" w14:textId="77777777" w:rsidR="00C64049" w:rsidRPr="00C64049" w:rsidRDefault="00C64049" w:rsidP="00C64049">
            <w:pPr>
              <w:autoSpaceDE w:val="0"/>
              <w:autoSpaceDN w:val="0"/>
              <w:adjustRightInd w:val="0"/>
              <w:spacing w:after="0" w:line="320" w:lineRule="atLeast"/>
              <w:ind w:left="60" w:right="60"/>
              <w:jc w:val="center"/>
              <w:rPr>
                <w:rFonts w:ascii="Garamond" w:hAnsi="Garamond" w:cs="Arial"/>
                <w:color w:val="264A60"/>
                <w:sz w:val="18"/>
                <w:szCs w:val="18"/>
              </w:rPr>
            </w:pPr>
            <w:r w:rsidRPr="00C64049">
              <w:rPr>
                <w:rFonts w:ascii="Garamond" w:hAnsi="Garamond" w:cs="Arial"/>
                <w:color w:val="264A60"/>
                <w:sz w:val="18"/>
                <w:szCs w:val="18"/>
              </w:rPr>
              <w:t>Pourcentage cumulé</w:t>
            </w:r>
          </w:p>
        </w:tc>
      </w:tr>
      <w:tr w:rsidR="00C64049" w:rsidRPr="00C64049" w14:paraId="2D66BFA1" w14:textId="77777777" w:rsidTr="00CB6C41">
        <w:trPr>
          <w:cantSplit/>
        </w:trPr>
        <w:tc>
          <w:tcPr>
            <w:tcW w:w="813" w:type="dxa"/>
            <w:vMerge w:val="restart"/>
            <w:tcBorders>
              <w:top w:val="single" w:sz="8" w:space="0" w:color="152935"/>
              <w:left w:val="nil"/>
              <w:bottom w:val="single" w:sz="8" w:space="0" w:color="152935"/>
              <w:right w:val="nil"/>
            </w:tcBorders>
            <w:shd w:val="clear" w:color="auto" w:fill="E0E0E0"/>
          </w:tcPr>
          <w:p w14:paraId="5F93A8FC"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Valide</w:t>
            </w:r>
          </w:p>
        </w:tc>
        <w:tc>
          <w:tcPr>
            <w:tcW w:w="1215" w:type="dxa"/>
            <w:tcBorders>
              <w:top w:val="single" w:sz="8" w:space="0" w:color="152935"/>
              <w:left w:val="nil"/>
              <w:bottom w:val="single" w:sz="8" w:space="0" w:color="AEAEAE"/>
              <w:right w:val="nil"/>
            </w:tcBorders>
            <w:shd w:val="clear" w:color="auto" w:fill="E0E0E0"/>
          </w:tcPr>
          <w:p w14:paraId="3EC6A7B6"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Kaloum</w:t>
            </w:r>
          </w:p>
        </w:tc>
        <w:tc>
          <w:tcPr>
            <w:tcW w:w="1658" w:type="dxa"/>
            <w:tcBorders>
              <w:top w:val="single" w:sz="8" w:space="0" w:color="152935"/>
              <w:left w:val="nil"/>
              <w:bottom w:val="single" w:sz="8" w:space="0" w:color="AEAEAE"/>
              <w:right w:val="single" w:sz="8" w:space="0" w:color="E0E0E0"/>
            </w:tcBorders>
            <w:shd w:val="clear" w:color="auto" w:fill="FFFFFF"/>
          </w:tcPr>
          <w:p w14:paraId="661CB4A0"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w:t>
            </w:r>
          </w:p>
        </w:tc>
        <w:tc>
          <w:tcPr>
            <w:tcW w:w="1843" w:type="dxa"/>
            <w:tcBorders>
              <w:top w:val="single" w:sz="8" w:space="0" w:color="152935"/>
              <w:left w:val="single" w:sz="8" w:space="0" w:color="E0E0E0"/>
              <w:bottom w:val="single" w:sz="8" w:space="0" w:color="AEAEAE"/>
              <w:right w:val="single" w:sz="8" w:space="0" w:color="E0E0E0"/>
            </w:tcBorders>
            <w:shd w:val="clear" w:color="auto" w:fill="FFFFFF"/>
          </w:tcPr>
          <w:p w14:paraId="764A5136"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w:t>
            </w:r>
          </w:p>
        </w:tc>
        <w:tc>
          <w:tcPr>
            <w:tcW w:w="1842" w:type="dxa"/>
            <w:tcBorders>
              <w:top w:val="single" w:sz="8" w:space="0" w:color="152935"/>
              <w:left w:val="single" w:sz="8" w:space="0" w:color="E0E0E0"/>
              <w:bottom w:val="single" w:sz="8" w:space="0" w:color="AEAEAE"/>
              <w:right w:val="single" w:sz="8" w:space="0" w:color="E0E0E0"/>
            </w:tcBorders>
            <w:shd w:val="clear" w:color="auto" w:fill="FFFFFF"/>
          </w:tcPr>
          <w:p w14:paraId="1C1A84D2"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w:t>
            </w:r>
          </w:p>
        </w:tc>
        <w:tc>
          <w:tcPr>
            <w:tcW w:w="1843" w:type="dxa"/>
            <w:tcBorders>
              <w:top w:val="single" w:sz="8" w:space="0" w:color="152935"/>
              <w:left w:val="single" w:sz="8" w:space="0" w:color="E0E0E0"/>
              <w:bottom w:val="single" w:sz="8" w:space="0" w:color="AEAEAE"/>
              <w:right w:val="nil"/>
            </w:tcBorders>
            <w:shd w:val="clear" w:color="auto" w:fill="FFFFFF"/>
          </w:tcPr>
          <w:p w14:paraId="40663E09"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w:t>
            </w:r>
          </w:p>
        </w:tc>
      </w:tr>
      <w:tr w:rsidR="00C64049" w:rsidRPr="00C64049" w14:paraId="44637F1B"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59D24D97"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73F78C58"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Kankan</w:t>
            </w:r>
          </w:p>
        </w:tc>
        <w:tc>
          <w:tcPr>
            <w:tcW w:w="1658" w:type="dxa"/>
            <w:tcBorders>
              <w:top w:val="single" w:sz="8" w:space="0" w:color="AEAEAE"/>
              <w:left w:val="nil"/>
              <w:bottom w:val="single" w:sz="8" w:space="0" w:color="AEAEAE"/>
              <w:right w:val="single" w:sz="8" w:space="0" w:color="E0E0E0"/>
            </w:tcBorders>
            <w:shd w:val="clear" w:color="auto" w:fill="FFFFFF"/>
          </w:tcPr>
          <w:p w14:paraId="7ACFFAC9"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219</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17D4E3BD"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22,0</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5D3180BB"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22,0</w:t>
            </w:r>
          </w:p>
        </w:tc>
        <w:tc>
          <w:tcPr>
            <w:tcW w:w="1843" w:type="dxa"/>
            <w:tcBorders>
              <w:top w:val="single" w:sz="8" w:space="0" w:color="AEAEAE"/>
              <w:left w:val="single" w:sz="8" w:space="0" w:color="E0E0E0"/>
              <w:bottom w:val="single" w:sz="8" w:space="0" w:color="AEAEAE"/>
              <w:right w:val="nil"/>
            </w:tcBorders>
            <w:shd w:val="clear" w:color="auto" w:fill="FFFFFF"/>
          </w:tcPr>
          <w:p w14:paraId="4F24732E"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22,8</w:t>
            </w:r>
          </w:p>
        </w:tc>
      </w:tr>
      <w:tr w:rsidR="00C64049" w:rsidRPr="00C64049" w14:paraId="529D75CA"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38100F04"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5B1CEEFC"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Labé</w:t>
            </w:r>
          </w:p>
        </w:tc>
        <w:tc>
          <w:tcPr>
            <w:tcW w:w="1658" w:type="dxa"/>
            <w:tcBorders>
              <w:top w:val="single" w:sz="8" w:space="0" w:color="AEAEAE"/>
              <w:left w:val="nil"/>
              <w:bottom w:val="single" w:sz="8" w:space="0" w:color="AEAEAE"/>
              <w:right w:val="single" w:sz="8" w:space="0" w:color="E0E0E0"/>
            </w:tcBorders>
            <w:shd w:val="clear" w:color="auto" w:fill="FFFFFF"/>
          </w:tcPr>
          <w:p w14:paraId="00090DEC"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80</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7667B813"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8,0</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040DAA97"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8,0</w:t>
            </w:r>
          </w:p>
        </w:tc>
        <w:tc>
          <w:tcPr>
            <w:tcW w:w="1843" w:type="dxa"/>
            <w:tcBorders>
              <w:top w:val="single" w:sz="8" w:space="0" w:color="AEAEAE"/>
              <w:left w:val="single" w:sz="8" w:space="0" w:color="E0E0E0"/>
              <w:bottom w:val="single" w:sz="8" w:space="0" w:color="AEAEAE"/>
              <w:right w:val="nil"/>
            </w:tcBorders>
            <w:shd w:val="clear" w:color="auto" w:fill="FFFFFF"/>
          </w:tcPr>
          <w:p w14:paraId="1B562385"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30,8</w:t>
            </w:r>
          </w:p>
        </w:tc>
      </w:tr>
      <w:tr w:rsidR="00C64049" w:rsidRPr="00C64049" w14:paraId="1074642C"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7DBCA35E"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48D436F2"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N'Zérékoré</w:t>
            </w:r>
          </w:p>
        </w:tc>
        <w:tc>
          <w:tcPr>
            <w:tcW w:w="1658" w:type="dxa"/>
            <w:tcBorders>
              <w:top w:val="single" w:sz="8" w:space="0" w:color="AEAEAE"/>
              <w:left w:val="nil"/>
              <w:bottom w:val="single" w:sz="8" w:space="0" w:color="AEAEAE"/>
              <w:right w:val="single" w:sz="8" w:space="0" w:color="E0E0E0"/>
            </w:tcBorders>
            <w:shd w:val="clear" w:color="auto" w:fill="FFFFFF"/>
          </w:tcPr>
          <w:p w14:paraId="104CCE0A"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139</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6D890D3A"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14,0</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3DCD61BB"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14,0</w:t>
            </w:r>
          </w:p>
        </w:tc>
        <w:tc>
          <w:tcPr>
            <w:tcW w:w="1843" w:type="dxa"/>
            <w:tcBorders>
              <w:top w:val="single" w:sz="8" w:space="0" w:color="AEAEAE"/>
              <w:left w:val="single" w:sz="8" w:space="0" w:color="E0E0E0"/>
              <w:bottom w:val="single" w:sz="8" w:space="0" w:color="AEAEAE"/>
              <w:right w:val="nil"/>
            </w:tcBorders>
            <w:shd w:val="clear" w:color="auto" w:fill="FFFFFF"/>
          </w:tcPr>
          <w:p w14:paraId="0B2B1FEC"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44,8</w:t>
            </w:r>
          </w:p>
        </w:tc>
      </w:tr>
      <w:tr w:rsidR="00C64049" w:rsidRPr="00C64049" w14:paraId="4E82A075"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5C33B1BE"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4636A3FC"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Matam</w:t>
            </w:r>
          </w:p>
        </w:tc>
        <w:tc>
          <w:tcPr>
            <w:tcW w:w="1658" w:type="dxa"/>
            <w:tcBorders>
              <w:top w:val="single" w:sz="8" w:space="0" w:color="AEAEAE"/>
              <w:left w:val="nil"/>
              <w:bottom w:val="single" w:sz="8" w:space="0" w:color="AEAEAE"/>
              <w:right w:val="single" w:sz="8" w:space="0" w:color="E0E0E0"/>
            </w:tcBorders>
            <w:shd w:val="clear" w:color="auto" w:fill="FFFFFF"/>
          </w:tcPr>
          <w:p w14:paraId="393DCBD8"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15</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12C1FA62"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1,5</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36AF3E12"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1,5</w:t>
            </w:r>
          </w:p>
        </w:tc>
        <w:tc>
          <w:tcPr>
            <w:tcW w:w="1843" w:type="dxa"/>
            <w:tcBorders>
              <w:top w:val="single" w:sz="8" w:space="0" w:color="AEAEAE"/>
              <w:left w:val="single" w:sz="8" w:space="0" w:color="E0E0E0"/>
              <w:bottom w:val="single" w:sz="8" w:space="0" w:color="AEAEAE"/>
              <w:right w:val="nil"/>
            </w:tcBorders>
            <w:shd w:val="clear" w:color="auto" w:fill="FFFFFF"/>
          </w:tcPr>
          <w:p w14:paraId="7BED026A"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46,3</w:t>
            </w:r>
          </w:p>
        </w:tc>
      </w:tr>
      <w:tr w:rsidR="00C64049" w:rsidRPr="00C64049" w14:paraId="417408D9"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04527D67"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6BA1842C"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Dixinn</w:t>
            </w:r>
          </w:p>
        </w:tc>
        <w:tc>
          <w:tcPr>
            <w:tcW w:w="1658" w:type="dxa"/>
            <w:tcBorders>
              <w:top w:val="single" w:sz="8" w:space="0" w:color="AEAEAE"/>
              <w:left w:val="nil"/>
              <w:bottom w:val="single" w:sz="8" w:space="0" w:color="AEAEAE"/>
              <w:right w:val="single" w:sz="8" w:space="0" w:color="E0E0E0"/>
            </w:tcBorders>
            <w:shd w:val="clear" w:color="auto" w:fill="FFFFFF"/>
          </w:tcPr>
          <w:p w14:paraId="2E588F2F"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17</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1679DA04"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1,7</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5BAD7A0F"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1,7</w:t>
            </w:r>
          </w:p>
        </w:tc>
        <w:tc>
          <w:tcPr>
            <w:tcW w:w="1843" w:type="dxa"/>
            <w:tcBorders>
              <w:top w:val="single" w:sz="8" w:space="0" w:color="AEAEAE"/>
              <w:left w:val="single" w:sz="8" w:space="0" w:color="E0E0E0"/>
              <w:bottom w:val="single" w:sz="8" w:space="0" w:color="AEAEAE"/>
              <w:right w:val="nil"/>
            </w:tcBorders>
            <w:shd w:val="clear" w:color="auto" w:fill="FFFFFF"/>
          </w:tcPr>
          <w:p w14:paraId="29306A8A"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48,0</w:t>
            </w:r>
          </w:p>
        </w:tc>
      </w:tr>
      <w:tr w:rsidR="00C64049" w:rsidRPr="00C64049" w14:paraId="7F2093ED"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1B844912"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3CF40205"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proofErr w:type="spellStart"/>
            <w:r w:rsidRPr="00C64049">
              <w:rPr>
                <w:rFonts w:ascii="Garamond" w:hAnsi="Garamond" w:cs="Arial"/>
                <w:color w:val="264A60"/>
                <w:sz w:val="18"/>
                <w:szCs w:val="18"/>
              </w:rPr>
              <w:t>Matoto</w:t>
            </w:r>
            <w:proofErr w:type="spellEnd"/>
          </w:p>
        </w:tc>
        <w:tc>
          <w:tcPr>
            <w:tcW w:w="1658" w:type="dxa"/>
            <w:tcBorders>
              <w:top w:val="single" w:sz="8" w:space="0" w:color="AEAEAE"/>
              <w:left w:val="nil"/>
              <w:bottom w:val="single" w:sz="8" w:space="0" w:color="AEAEAE"/>
              <w:right w:val="single" w:sz="8" w:space="0" w:color="E0E0E0"/>
            </w:tcBorders>
            <w:shd w:val="clear" w:color="auto" w:fill="FFFFFF"/>
          </w:tcPr>
          <w:p w14:paraId="77FE426B"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77</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70470372"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7,7</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6F5C20ED"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7,7</w:t>
            </w:r>
          </w:p>
        </w:tc>
        <w:tc>
          <w:tcPr>
            <w:tcW w:w="1843" w:type="dxa"/>
            <w:tcBorders>
              <w:top w:val="single" w:sz="8" w:space="0" w:color="AEAEAE"/>
              <w:left w:val="single" w:sz="8" w:space="0" w:color="E0E0E0"/>
              <w:bottom w:val="single" w:sz="8" w:space="0" w:color="AEAEAE"/>
              <w:right w:val="nil"/>
            </w:tcBorders>
            <w:shd w:val="clear" w:color="auto" w:fill="FFFFFF"/>
          </w:tcPr>
          <w:p w14:paraId="3C680F52"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55,7</w:t>
            </w:r>
          </w:p>
        </w:tc>
      </w:tr>
      <w:tr w:rsidR="00C64049" w:rsidRPr="00C64049" w14:paraId="72306C31"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1FD7F4D1"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3AD7CA5F"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Ratoma</w:t>
            </w:r>
          </w:p>
        </w:tc>
        <w:tc>
          <w:tcPr>
            <w:tcW w:w="1658" w:type="dxa"/>
            <w:tcBorders>
              <w:top w:val="single" w:sz="8" w:space="0" w:color="AEAEAE"/>
              <w:left w:val="nil"/>
              <w:bottom w:val="single" w:sz="8" w:space="0" w:color="AEAEAE"/>
              <w:right w:val="single" w:sz="8" w:space="0" w:color="E0E0E0"/>
            </w:tcBorders>
            <w:shd w:val="clear" w:color="auto" w:fill="FFFFFF"/>
          </w:tcPr>
          <w:p w14:paraId="037B6D31"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82</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311899A3"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8,2</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17CADBD5"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8,2</w:t>
            </w:r>
          </w:p>
        </w:tc>
        <w:tc>
          <w:tcPr>
            <w:tcW w:w="1843" w:type="dxa"/>
            <w:tcBorders>
              <w:top w:val="single" w:sz="8" w:space="0" w:color="AEAEAE"/>
              <w:left w:val="single" w:sz="8" w:space="0" w:color="E0E0E0"/>
              <w:bottom w:val="single" w:sz="8" w:space="0" w:color="AEAEAE"/>
              <w:right w:val="nil"/>
            </w:tcBorders>
            <w:shd w:val="clear" w:color="auto" w:fill="FFFFFF"/>
          </w:tcPr>
          <w:p w14:paraId="5C603725"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64,0</w:t>
            </w:r>
          </w:p>
        </w:tc>
      </w:tr>
      <w:tr w:rsidR="00C64049" w:rsidRPr="00C64049" w14:paraId="38C0F4FE"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46B38744"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70591218"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Kindia</w:t>
            </w:r>
          </w:p>
        </w:tc>
        <w:tc>
          <w:tcPr>
            <w:tcW w:w="1658" w:type="dxa"/>
            <w:tcBorders>
              <w:top w:val="single" w:sz="8" w:space="0" w:color="AEAEAE"/>
              <w:left w:val="nil"/>
              <w:bottom w:val="single" w:sz="8" w:space="0" w:color="AEAEAE"/>
              <w:right w:val="single" w:sz="8" w:space="0" w:color="E0E0E0"/>
            </w:tcBorders>
            <w:shd w:val="clear" w:color="auto" w:fill="FFFFFF"/>
          </w:tcPr>
          <w:p w14:paraId="24180D1E"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130</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49BC0F0A"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13,1</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4E99D5FD"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13,1</w:t>
            </w:r>
          </w:p>
        </w:tc>
        <w:tc>
          <w:tcPr>
            <w:tcW w:w="1843" w:type="dxa"/>
            <w:tcBorders>
              <w:top w:val="single" w:sz="8" w:space="0" w:color="AEAEAE"/>
              <w:left w:val="single" w:sz="8" w:space="0" w:color="E0E0E0"/>
              <w:bottom w:val="single" w:sz="8" w:space="0" w:color="AEAEAE"/>
              <w:right w:val="nil"/>
            </w:tcBorders>
            <w:shd w:val="clear" w:color="auto" w:fill="FFFFFF"/>
          </w:tcPr>
          <w:p w14:paraId="7EB31F33"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77,0</w:t>
            </w:r>
          </w:p>
        </w:tc>
      </w:tr>
      <w:tr w:rsidR="00C64049" w:rsidRPr="00C64049" w14:paraId="3F9C7423"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5D838BB7"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1A93C459"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Boké</w:t>
            </w:r>
          </w:p>
        </w:tc>
        <w:tc>
          <w:tcPr>
            <w:tcW w:w="1658" w:type="dxa"/>
            <w:tcBorders>
              <w:top w:val="single" w:sz="8" w:space="0" w:color="AEAEAE"/>
              <w:left w:val="nil"/>
              <w:bottom w:val="single" w:sz="8" w:space="0" w:color="AEAEAE"/>
              <w:right w:val="single" w:sz="8" w:space="0" w:color="E0E0E0"/>
            </w:tcBorders>
            <w:shd w:val="clear" w:color="auto" w:fill="FFFFFF"/>
          </w:tcPr>
          <w:p w14:paraId="31E04E25"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79</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0522A3AF"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7,9</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1CEE1391"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7,9</w:t>
            </w:r>
          </w:p>
        </w:tc>
        <w:tc>
          <w:tcPr>
            <w:tcW w:w="1843" w:type="dxa"/>
            <w:tcBorders>
              <w:top w:val="single" w:sz="8" w:space="0" w:color="AEAEAE"/>
              <w:left w:val="single" w:sz="8" w:space="0" w:color="E0E0E0"/>
              <w:bottom w:val="single" w:sz="8" w:space="0" w:color="AEAEAE"/>
              <w:right w:val="nil"/>
            </w:tcBorders>
            <w:shd w:val="clear" w:color="auto" w:fill="FFFFFF"/>
          </w:tcPr>
          <w:p w14:paraId="747174D8"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84,9</w:t>
            </w:r>
          </w:p>
        </w:tc>
      </w:tr>
      <w:tr w:rsidR="00C64049" w:rsidRPr="00C64049" w14:paraId="594DAE96"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70202B51"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1D2AC301"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Mamou</w:t>
            </w:r>
          </w:p>
        </w:tc>
        <w:tc>
          <w:tcPr>
            <w:tcW w:w="1658" w:type="dxa"/>
            <w:tcBorders>
              <w:top w:val="single" w:sz="8" w:space="0" w:color="AEAEAE"/>
              <w:left w:val="nil"/>
              <w:bottom w:val="single" w:sz="8" w:space="0" w:color="AEAEAE"/>
              <w:right w:val="single" w:sz="8" w:space="0" w:color="E0E0E0"/>
            </w:tcBorders>
            <w:shd w:val="clear" w:color="auto" w:fill="FFFFFF"/>
          </w:tcPr>
          <w:p w14:paraId="0C87CB84"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60</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50974BBD"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6,0</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574161C2"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6,0</w:t>
            </w:r>
          </w:p>
        </w:tc>
        <w:tc>
          <w:tcPr>
            <w:tcW w:w="1843" w:type="dxa"/>
            <w:tcBorders>
              <w:top w:val="single" w:sz="8" w:space="0" w:color="AEAEAE"/>
              <w:left w:val="single" w:sz="8" w:space="0" w:color="E0E0E0"/>
              <w:bottom w:val="single" w:sz="8" w:space="0" w:color="AEAEAE"/>
              <w:right w:val="nil"/>
            </w:tcBorders>
            <w:shd w:val="clear" w:color="auto" w:fill="FFFFFF"/>
          </w:tcPr>
          <w:p w14:paraId="02502FFD"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91,0</w:t>
            </w:r>
          </w:p>
        </w:tc>
      </w:tr>
      <w:tr w:rsidR="00C64049" w:rsidRPr="00C64049" w14:paraId="189CE998"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142F9ABF"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AEAEAE"/>
              <w:right w:val="nil"/>
            </w:tcBorders>
            <w:shd w:val="clear" w:color="auto" w:fill="E0E0E0"/>
          </w:tcPr>
          <w:p w14:paraId="01504B3C"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Faranah</w:t>
            </w:r>
          </w:p>
        </w:tc>
        <w:tc>
          <w:tcPr>
            <w:tcW w:w="1658" w:type="dxa"/>
            <w:tcBorders>
              <w:top w:val="single" w:sz="8" w:space="0" w:color="AEAEAE"/>
              <w:left w:val="nil"/>
              <w:bottom w:val="single" w:sz="8" w:space="0" w:color="AEAEAE"/>
              <w:right w:val="single" w:sz="8" w:space="0" w:color="E0E0E0"/>
            </w:tcBorders>
            <w:shd w:val="clear" w:color="auto" w:fill="FFFFFF"/>
          </w:tcPr>
          <w:p w14:paraId="0062F8F8"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90</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6FF5F019"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9,0</w:t>
            </w:r>
          </w:p>
        </w:tc>
        <w:tc>
          <w:tcPr>
            <w:tcW w:w="1842" w:type="dxa"/>
            <w:tcBorders>
              <w:top w:val="single" w:sz="8" w:space="0" w:color="AEAEAE"/>
              <w:left w:val="single" w:sz="8" w:space="0" w:color="E0E0E0"/>
              <w:bottom w:val="single" w:sz="8" w:space="0" w:color="AEAEAE"/>
              <w:right w:val="single" w:sz="8" w:space="0" w:color="E0E0E0"/>
            </w:tcBorders>
            <w:shd w:val="clear" w:color="auto" w:fill="FFFFFF"/>
          </w:tcPr>
          <w:p w14:paraId="4908E8A7"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9,0</w:t>
            </w:r>
          </w:p>
        </w:tc>
        <w:tc>
          <w:tcPr>
            <w:tcW w:w="1843" w:type="dxa"/>
            <w:tcBorders>
              <w:top w:val="single" w:sz="8" w:space="0" w:color="AEAEAE"/>
              <w:left w:val="single" w:sz="8" w:space="0" w:color="E0E0E0"/>
              <w:bottom w:val="single" w:sz="8" w:space="0" w:color="AEAEAE"/>
              <w:right w:val="nil"/>
            </w:tcBorders>
            <w:shd w:val="clear" w:color="auto" w:fill="FFFFFF"/>
          </w:tcPr>
          <w:p w14:paraId="75D21C84"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100,0</w:t>
            </w:r>
          </w:p>
        </w:tc>
      </w:tr>
      <w:tr w:rsidR="00C64049" w:rsidRPr="00C64049" w14:paraId="68AFCED6" w14:textId="77777777" w:rsidTr="00CB6C41">
        <w:trPr>
          <w:cantSplit/>
        </w:trPr>
        <w:tc>
          <w:tcPr>
            <w:tcW w:w="813" w:type="dxa"/>
            <w:vMerge/>
            <w:tcBorders>
              <w:top w:val="single" w:sz="8" w:space="0" w:color="152935"/>
              <w:left w:val="nil"/>
              <w:bottom w:val="single" w:sz="8" w:space="0" w:color="152935"/>
              <w:right w:val="nil"/>
            </w:tcBorders>
            <w:shd w:val="clear" w:color="auto" w:fill="E0E0E0"/>
          </w:tcPr>
          <w:p w14:paraId="56BA2696" w14:textId="77777777" w:rsidR="00C64049" w:rsidRPr="00C64049" w:rsidRDefault="00C64049" w:rsidP="00C64049">
            <w:pPr>
              <w:autoSpaceDE w:val="0"/>
              <w:autoSpaceDN w:val="0"/>
              <w:adjustRightInd w:val="0"/>
              <w:spacing w:after="0" w:line="240" w:lineRule="auto"/>
              <w:rPr>
                <w:rFonts w:ascii="Garamond" w:hAnsi="Garamond" w:cs="Arial"/>
                <w:color w:val="010205"/>
                <w:sz w:val="18"/>
                <w:szCs w:val="18"/>
              </w:rPr>
            </w:pPr>
          </w:p>
        </w:tc>
        <w:tc>
          <w:tcPr>
            <w:tcW w:w="1215" w:type="dxa"/>
            <w:tcBorders>
              <w:top w:val="single" w:sz="8" w:space="0" w:color="AEAEAE"/>
              <w:left w:val="nil"/>
              <w:bottom w:val="single" w:sz="8" w:space="0" w:color="152935"/>
              <w:right w:val="nil"/>
            </w:tcBorders>
            <w:shd w:val="clear" w:color="auto" w:fill="E0E0E0"/>
          </w:tcPr>
          <w:p w14:paraId="3E673570" w14:textId="77777777" w:rsidR="00C64049" w:rsidRPr="00C64049" w:rsidRDefault="00C64049" w:rsidP="00C64049">
            <w:pPr>
              <w:autoSpaceDE w:val="0"/>
              <w:autoSpaceDN w:val="0"/>
              <w:adjustRightInd w:val="0"/>
              <w:spacing w:after="0" w:line="320" w:lineRule="atLeast"/>
              <w:ind w:left="60" w:right="60"/>
              <w:rPr>
                <w:rFonts w:ascii="Garamond" w:hAnsi="Garamond" w:cs="Arial"/>
                <w:color w:val="264A60"/>
                <w:sz w:val="18"/>
                <w:szCs w:val="18"/>
              </w:rPr>
            </w:pPr>
            <w:r w:rsidRPr="00C64049">
              <w:rPr>
                <w:rFonts w:ascii="Garamond" w:hAnsi="Garamond" w:cs="Arial"/>
                <w:color w:val="264A60"/>
                <w:sz w:val="18"/>
                <w:szCs w:val="18"/>
              </w:rPr>
              <w:t>Total</w:t>
            </w:r>
          </w:p>
        </w:tc>
        <w:tc>
          <w:tcPr>
            <w:tcW w:w="1658" w:type="dxa"/>
            <w:tcBorders>
              <w:top w:val="single" w:sz="8" w:space="0" w:color="AEAEAE"/>
              <w:left w:val="nil"/>
              <w:bottom w:val="single" w:sz="8" w:space="0" w:color="152935"/>
              <w:right w:val="single" w:sz="8" w:space="0" w:color="E0E0E0"/>
            </w:tcBorders>
            <w:shd w:val="clear" w:color="auto" w:fill="FFFFFF"/>
          </w:tcPr>
          <w:p w14:paraId="1879E793"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996</w:t>
            </w:r>
          </w:p>
        </w:tc>
        <w:tc>
          <w:tcPr>
            <w:tcW w:w="1843" w:type="dxa"/>
            <w:tcBorders>
              <w:top w:val="single" w:sz="8" w:space="0" w:color="AEAEAE"/>
              <w:left w:val="single" w:sz="8" w:space="0" w:color="E0E0E0"/>
              <w:bottom w:val="single" w:sz="8" w:space="0" w:color="152935"/>
              <w:right w:val="single" w:sz="8" w:space="0" w:color="E0E0E0"/>
            </w:tcBorders>
            <w:shd w:val="clear" w:color="auto" w:fill="FFFFFF"/>
          </w:tcPr>
          <w:p w14:paraId="17B5BCBC"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100,0</w:t>
            </w:r>
          </w:p>
        </w:tc>
        <w:tc>
          <w:tcPr>
            <w:tcW w:w="1842" w:type="dxa"/>
            <w:tcBorders>
              <w:top w:val="single" w:sz="8" w:space="0" w:color="AEAEAE"/>
              <w:left w:val="single" w:sz="8" w:space="0" w:color="E0E0E0"/>
              <w:bottom w:val="single" w:sz="8" w:space="0" w:color="152935"/>
              <w:right w:val="single" w:sz="8" w:space="0" w:color="E0E0E0"/>
            </w:tcBorders>
            <w:shd w:val="clear" w:color="auto" w:fill="FFFFFF"/>
          </w:tcPr>
          <w:p w14:paraId="321632F8" w14:textId="77777777" w:rsidR="00C64049" w:rsidRPr="00C64049" w:rsidRDefault="00C64049" w:rsidP="00C64049">
            <w:pPr>
              <w:autoSpaceDE w:val="0"/>
              <w:autoSpaceDN w:val="0"/>
              <w:adjustRightInd w:val="0"/>
              <w:spacing w:after="0" w:line="320" w:lineRule="atLeast"/>
              <w:ind w:left="60" w:right="60"/>
              <w:jc w:val="right"/>
              <w:rPr>
                <w:rFonts w:ascii="Garamond" w:hAnsi="Garamond" w:cs="Arial"/>
                <w:color w:val="010205"/>
                <w:sz w:val="18"/>
                <w:szCs w:val="18"/>
              </w:rPr>
            </w:pPr>
            <w:r w:rsidRPr="00C64049">
              <w:rPr>
                <w:rFonts w:ascii="Garamond" w:hAnsi="Garamond" w:cs="Arial"/>
                <w:color w:val="010205"/>
                <w:sz w:val="18"/>
                <w:szCs w:val="18"/>
              </w:rPr>
              <w:t>100,0</w:t>
            </w:r>
          </w:p>
        </w:tc>
        <w:tc>
          <w:tcPr>
            <w:tcW w:w="1843" w:type="dxa"/>
            <w:tcBorders>
              <w:top w:val="single" w:sz="8" w:space="0" w:color="AEAEAE"/>
              <w:left w:val="single" w:sz="8" w:space="0" w:color="E0E0E0"/>
              <w:bottom w:val="single" w:sz="8" w:space="0" w:color="152935"/>
              <w:right w:val="nil"/>
            </w:tcBorders>
            <w:shd w:val="clear" w:color="auto" w:fill="FFFFFF"/>
            <w:vAlign w:val="center"/>
          </w:tcPr>
          <w:p w14:paraId="18AE1030" w14:textId="77777777" w:rsidR="00C64049" w:rsidRPr="00C64049" w:rsidRDefault="00C64049" w:rsidP="00C64049">
            <w:pPr>
              <w:autoSpaceDE w:val="0"/>
              <w:autoSpaceDN w:val="0"/>
              <w:adjustRightInd w:val="0"/>
              <w:spacing w:after="0" w:line="240" w:lineRule="auto"/>
              <w:rPr>
                <w:rFonts w:ascii="Garamond" w:hAnsi="Garamond" w:cs="Times New Roman"/>
                <w:sz w:val="24"/>
                <w:szCs w:val="24"/>
              </w:rPr>
            </w:pPr>
          </w:p>
        </w:tc>
      </w:tr>
    </w:tbl>
    <w:p w14:paraId="3B9ED9EF" w14:textId="2057E6DB" w:rsidR="00C64049" w:rsidRPr="00C64049" w:rsidRDefault="00E2586A" w:rsidP="00C64049">
      <w:pPr>
        <w:autoSpaceDE w:val="0"/>
        <w:autoSpaceDN w:val="0"/>
        <w:adjustRightInd w:val="0"/>
        <w:spacing w:after="0" w:line="400" w:lineRule="atLeast"/>
        <w:rPr>
          <w:rFonts w:ascii="Times New Roman" w:hAnsi="Times New Roman" w:cs="Times New Roman"/>
          <w:sz w:val="24"/>
          <w:szCs w:val="24"/>
        </w:rPr>
      </w:pPr>
      <w:r w:rsidRPr="00E2586A">
        <w:rPr>
          <w:rFonts w:ascii="Garamond" w:hAnsi="Garamond"/>
          <w:b/>
          <w:sz w:val="24"/>
          <w:szCs w:val="24"/>
        </w:rPr>
        <w:t>Taux de refus de participation à l’enquête :</w:t>
      </w:r>
      <w:r>
        <w:rPr>
          <w:rFonts w:ascii="Times New Roman" w:hAnsi="Times New Roman" w:cs="Times New Roman"/>
          <w:sz w:val="24"/>
          <w:szCs w:val="24"/>
        </w:rPr>
        <w:t xml:space="preserve"> </w:t>
      </w:r>
      <w:r w:rsidRPr="008B321B">
        <w:rPr>
          <w:rFonts w:ascii="Garamond" w:hAnsi="Garamond"/>
          <w:sz w:val="24"/>
          <w:szCs w:val="24"/>
        </w:rPr>
        <w:t>05% des personnes contactées</w:t>
      </w:r>
    </w:p>
    <w:p w14:paraId="07510C7A" w14:textId="03160EDE" w:rsidR="00CB6C41" w:rsidRPr="00E2586A" w:rsidRDefault="00CB6C41" w:rsidP="00251A5D">
      <w:pPr>
        <w:spacing w:after="0"/>
        <w:jc w:val="both"/>
        <w:rPr>
          <w:sz w:val="10"/>
        </w:rPr>
      </w:pPr>
    </w:p>
    <w:p w14:paraId="3C938EA1" w14:textId="6FF49241" w:rsidR="000E0E3A" w:rsidRPr="000E0E3A" w:rsidRDefault="004A1DB3" w:rsidP="008B321B">
      <w:pPr>
        <w:pStyle w:val="Titre1"/>
        <w:numPr>
          <w:ilvl w:val="0"/>
          <w:numId w:val="1"/>
        </w:numPr>
        <w:rPr>
          <w:rFonts w:ascii="Garamond" w:hAnsi="Garamond"/>
          <w:sz w:val="28"/>
          <w:szCs w:val="28"/>
        </w:rPr>
      </w:pPr>
      <w:bookmarkStart w:id="17" w:name="_Toc83781944"/>
      <w:r w:rsidRPr="004A1DB3">
        <w:rPr>
          <w:rFonts w:ascii="Garamond" w:hAnsi="Garamond"/>
          <w:sz w:val="28"/>
          <w:szCs w:val="28"/>
        </w:rPr>
        <w:lastRenderedPageBreak/>
        <w:t>Note méthodologique</w:t>
      </w:r>
      <w:r>
        <w:rPr>
          <w:rFonts w:ascii="Garamond" w:hAnsi="Garamond"/>
          <w:sz w:val="28"/>
          <w:szCs w:val="28"/>
        </w:rPr>
        <w:t> :</w:t>
      </w:r>
      <w:bookmarkEnd w:id="17"/>
    </w:p>
    <w:p w14:paraId="03D393EE" w14:textId="77777777" w:rsidR="000E0E3A" w:rsidRPr="00E407F8" w:rsidRDefault="000E0E3A" w:rsidP="000E0E3A">
      <w:pPr>
        <w:spacing w:line="240" w:lineRule="auto"/>
        <w:rPr>
          <w:rFonts w:ascii="Garamond" w:hAnsi="Garamond" w:cs="Arial"/>
          <w:b/>
          <w:color w:val="222222"/>
          <w:sz w:val="20"/>
          <w:szCs w:val="26"/>
          <w:shd w:val="clear" w:color="auto" w:fill="FFFFFF"/>
        </w:rPr>
      </w:pPr>
      <w:r w:rsidRPr="00E407F8">
        <w:rPr>
          <w:rFonts w:ascii="Garamond" w:hAnsi="Garamond" w:cs="Arial"/>
          <w:b/>
          <w:color w:val="222222"/>
          <w:sz w:val="20"/>
          <w:szCs w:val="26"/>
          <w:shd w:val="clear" w:color="auto" w:fill="FFFFFF"/>
        </w:rPr>
        <w:t>Base de sondage</w:t>
      </w:r>
    </w:p>
    <w:p w14:paraId="31C750FD" w14:textId="1CD6D3D3" w:rsidR="000E0E3A" w:rsidRPr="00E407F8" w:rsidRDefault="000E0E3A" w:rsidP="00251A5D">
      <w:pPr>
        <w:spacing w:line="240" w:lineRule="auto"/>
        <w:jc w:val="both"/>
        <w:rPr>
          <w:rFonts w:ascii="Garamond" w:hAnsi="Garamond" w:cs="Arial"/>
          <w:color w:val="222222"/>
          <w:sz w:val="20"/>
          <w:szCs w:val="26"/>
          <w:shd w:val="clear" w:color="auto" w:fill="FFFFFF"/>
        </w:rPr>
      </w:pPr>
      <w:r w:rsidRPr="00E407F8">
        <w:rPr>
          <w:rFonts w:ascii="Garamond" w:hAnsi="Garamond" w:cs="Arial"/>
          <w:color w:val="222222"/>
          <w:sz w:val="20"/>
          <w:szCs w:val="26"/>
          <w:shd w:val="clear" w:color="auto" w:fill="FFFFFF"/>
        </w:rPr>
        <w:t>Sur la question relative aux terrains d’application des études, une disparité énorme se constate entre les références du fichier électoral, qui sert de base, et les délimitations des quartiers sur le terrain. Ce qui pose un problème aux enquêteurs dans le respect des consignes de la méthode des itinéraires.</w:t>
      </w:r>
    </w:p>
    <w:p w14:paraId="24C55C9B" w14:textId="27B73C71" w:rsidR="000E0E3A" w:rsidRPr="00E407F8" w:rsidRDefault="000E0E3A" w:rsidP="00251A5D">
      <w:pPr>
        <w:spacing w:line="240" w:lineRule="auto"/>
        <w:jc w:val="both"/>
        <w:rPr>
          <w:rFonts w:ascii="Garamond" w:hAnsi="Garamond" w:cs="Arial"/>
          <w:color w:val="222222"/>
          <w:sz w:val="20"/>
          <w:szCs w:val="26"/>
          <w:shd w:val="clear" w:color="auto" w:fill="FFFFFF"/>
        </w:rPr>
      </w:pPr>
      <w:r w:rsidRPr="00E407F8">
        <w:rPr>
          <w:rFonts w:ascii="Garamond" w:hAnsi="Garamond" w:cs="Arial"/>
          <w:color w:val="222222"/>
          <w:sz w:val="20"/>
          <w:szCs w:val="26"/>
          <w:shd w:val="clear" w:color="auto" w:fill="FFFFFF"/>
        </w:rPr>
        <w:t>Il reste un vrai problème la constitution d’une base de sondage à</w:t>
      </w:r>
      <w:r w:rsidR="00251A5D" w:rsidRPr="00E407F8">
        <w:rPr>
          <w:rFonts w:ascii="Garamond" w:hAnsi="Garamond" w:cs="Arial"/>
          <w:color w:val="222222"/>
          <w:sz w:val="20"/>
          <w:szCs w:val="26"/>
          <w:shd w:val="clear" w:color="auto" w:fill="FFFFFF"/>
        </w:rPr>
        <w:t xml:space="preserve"> jour, complète avec adressage. </w:t>
      </w:r>
      <w:r w:rsidRPr="00E407F8">
        <w:rPr>
          <w:rFonts w:ascii="Garamond" w:hAnsi="Garamond" w:cs="Arial"/>
          <w:color w:val="222222"/>
          <w:sz w:val="20"/>
          <w:szCs w:val="26"/>
          <w:shd w:val="clear" w:color="auto" w:fill="FFFFFF"/>
        </w:rPr>
        <w:t>Cela rend difficile la construction d’un échantillon pro</w:t>
      </w:r>
      <w:r w:rsidR="00251A5D" w:rsidRPr="00E407F8">
        <w:rPr>
          <w:rFonts w:ascii="Garamond" w:hAnsi="Garamond" w:cs="Arial"/>
          <w:color w:val="222222"/>
          <w:sz w:val="20"/>
          <w:szCs w:val="26"/>
          <w:shd w:val="clear" w:color="auto" w:fill="FFFFFF"/>
        </w:rPr>
        <w:t xml:space="preserve">babiliste, ce qui ne permet pas </w:t>
      </w:r>
      <w:r w:rsidRPr="00E407F8">
        <w:rPr>
          <w:rFonts w:ascii="Garamond" w:hAnsi="Garamond" w:cs="Arial"/>
          <w:color w:val="222222"/>
          <w:sz w:val="20"/>
          <w:szCs w:val="26"/>
          <w:shd w:val="clear" w:color="auto" w:fill="FFFFFF"/>
        </w:rPr>
        <w:t>l’extrapolation des conclusions des enquêtes.</w:t>
      </w:r>
    </w:p>
    <w:p w14:paraId="41E37CC5" w14:textId="54D5D1E5" w:rsidR="000E0E3A" w:rsidRPr="00E407F8" w:rsidRDefault="000E0E3A" w:rsidP="00251A5D">
      <w:pPr>
        <w:spacing w:line="240" w:lineRule="auto"/>
        <w:jc w:val="both"/>
        <w:rPr>
          <w:rFonts w:ascii="Garamond" w:hAnsi="Garamond" w:cs="Arial"/>
          <w:color w:val="222222"/>
          <w:sz w:val="20"/>
          <w:szCs w:val="26"/>
          <w:shd w:val="clear" w:color="auto" w:fill="FFFFFF"/>
        </w:rPr>
      </w:pPr>
      <w:r w:rsidRPr="00E407F8">
        <w:rPr>
          <w:rFonts w:ascii="Garamond" w:hAnsi="Garamond" w:cs="Arial"/>
          <w:color w:val="222222"/>
          <w:sz w:val="20"/>
          <w:szCs w:val="26"/>
          <w:shd w:val="clear" w:color="auto" w:fill="FFFFFF"/>
        </w:rPr>
        <w:t>Pour résorber cette situation, la méthode d’enquête par i</w:t>
      </w:r>
      <w:r w:rsidR="00251A5D" w:rsidRPr="00E407F8">
        <w:rPr>
          <w:rFonts w:ascii="Garamond" w:hAnsi="Garamond" w:cs="Arial"/>
          <w:color w:val="222222"/>
          <w:sz w:val="20"/>
          <w:szCs w:val="26"/>
          <w:shd w:val="clear" w:color="auto" w:fill="FFFFFF"/>
        </w:rPr>
        <w:t xml:space="preserve">tinéraire est mieux conseillée. </w:t>
      </w:r>
      <w:r w:rsidRPr="00E407F8">
        <w:rPr>
          <w:rFonts w:ascii="Garamond" w:hAnsi="Garamond" w:cs="Arial"/>
          <w:color w:val="222222"/>
          <w:sz w:val="20"/>
          <w:szCs w:val="26"/>
          <w:shd w:val="clear" w:color="auto" w:fill="FFFFFF"/>
        </w:rPr>
        <w:t xml:space="preserve">Cette méthode implique que des quotas à réaliser soient </w:t>
      </w:r>
      <w:r w:rsidR="00251A5D" w:rsidRPr="00E407F8">
        <w:rPr>
          <w:rFonts w:ascii="Garamond" w:hAnsi="Garamond" w:cs="Arial"/>
          <w:color w:val="222222"/>
          <w:sz w:val="20"/>
          <w:szCs w:val="26"/>
          <w:shd w:val="clear" w:color="auto" w:fill="FFFFFF"/>
        </w:rPr>
        <w:t xml:space="preserve">déterminés par des statistiques </w:t>
      </w:r>
      <w:r w:rsidRPr="00E407F8">
        <w:rPr>
          <w:rFonts w:ascii="Garamond" w:hAnsi="Garamond" w:cs="Arial"/>
          <w:color w:val="222222"/>
          <w:sz w:val="20"/>
          <w:szCs w:val="26"/>
          <w:shd w:val="clear" w:color="auto" w:fill="FFFFFF"/>
        </w:rPr>
        <w:t>disponibles (base électorale). Il est exigé à chaque enquêteur un pl</w:t>
      </w:r>
      <w:r w:rsidR="00251A5D" w:rsidRPr="00E407F8">
        <w:rPr>
          <w:rFonts w:ascii="Garamond" w:hAnsi="Garamond" w:cs="Arial"/>
          <w:color w:val="222222"/>
          <w:sz w:val="20"/>
          <w:szCs w:val="26"/>
          <w:shd w:val="clear" w:color="auto" w:fill="FFFFFF"/>
        </w:rPr>
        <w:t xml:space="preserve">an de travail qui lui impose le </w:t>
      </w:r>
      <w:r w:rsidRPr="00E407F8">
        <w:rPr>
          <w:rFonts w:ascii="Garamond" w:hAnsi="Garamond" w:cs="Arial"/>
          <w:color w:val="222222"/>
          <w:sz w:val="20"/>
          <w:szCs w:val="26"/>
          <w:shd w:val="clear" w:color="auto" w:fill="FFFFFF"/>
        </w:rPr>
        <w:t xml:space="preserve">respect de certaines proportions et indications (sexe et quotas </w:t>
      </w:r>
      <w:r w:rsidR="00251A5D" w:rsidRPr="00E407F8">
        <w:rPr>
          <w:rFonts w:ascii="Garamond" w:hAnsi="Garamond" w:cs="Arial"/>
          <w:color w:val="222222"/>
          <w:sz w:val="20"/>
          <w:szCs w:val="26"/>
          <w:shd w:val="clear" w:color="auto" w:fill="FFFFFF"/>
        </w:rPr>
        <w:t xml:space="preserve">par quartier) pour sélectionner </w:t>
      </w:r>
      <w:r w:rsidRPr="00E407F8">
        <w:rPr>
          <w:rFonts w:ascii="Garamond" w:hAnsi="Garamond" w:cs="Arial"/>
          <w:color w:val="222222"/>
          <w:sz w:val="20"/>
          <w:szCs w:val="26"/>
          <w:shd w:val="clear" w:color="auto" w:fill="FFFFFF"/>
        </w:rPr>
        <w:t>les ménages et les interviewés.</w:t>
      </w:r>
    </w:p>
    <w:p w14:paraId="6EC3404D" w14:textId="56121AA5" w:rsidR="000E0E3A" w:rsidRPr="00E407F8" w:rsidRDefault="000E0E3A" w:rsidP="00251A5D">
      <w:pPr>
        <w:spacing w:line="240" w:lineRule="auto"/>
        <w:jc w:val="both"/>
        <w:rPr>
          <w:rFonts w:ascii="Garamond" w:hAnsi="Garamond" w:cs="Arial"/>
          <w:color w:val="222222"/>
          <w:sz w:val="20"/>
          <w:szCs w:val="26"/>
          <w:shd w:val="clear" w:color="auto" w:fill="FFFFFF"/>
        </w:rPr>
      </w:pPr>
      <w:r w:rsidRPr="00E407F8">
        <w:rPr>
          <w:rFonts w:ascii="Garamond" w:hAnsi="Garamond" w:cs="Arial"/>
          <w:color w:val="222222"/>
          <w:sz w:val="20"/>
          <w:szCs w:val="26"/>
          <w:shd w:val="clear" w:color="auto" w:fill="FFFFFF"/>
        </w:rPr>
        <w:t>L’échantillonnage s’effectue à partir d’un fichier (comme celui du f</w:t>
      </w:r>
      <w:r w:rsidR="00251A5D" w:rsidRPr="00E407F8">
        <w:rPr>
          <w:rFonts w:ascii="Garamond" w:hAnsi="Garamond" w:cs="Arial"/>
          <w:color w:val="222222"/>
          <w:sz w:val="20"/>
          <w:szCs w:val="26"/>
          <w:shd w:val="clear" w:color="auto" w:fill="FFFFFF"/>
        </w:rPr>
        <w:t xml:space="preserve">ichier électoral) qui n’informe </w:t>
      </w:r>
      <w:r w:rsidRPr="00E407F8">
        <w:rPr>
          <w:rFonts w:ascii="Garamond" w:hAnsi="Garamond" w:cs="Arial"/>
          <w:color w:val="222222"/>
          <w:sz w:val="20"/>
          <w:szCs w:val="26"/>
          <w:shd w:val="clear" w:color="auto" w:fill="FFFFFF"/>
        </w:rPr>
        <w:t>que sur le sexe des populations et leur quartier de recensem</w:t>
      </w:r>
      <w:r w:rsidR="00251A5D" w:rsidRPr="00E407F8">
        <w:rPr>
          <w:rFonts w:ascii="Garamond" w:hAnsi="Garamond" w:cs="Arial"/>
          <w:color w:val="222222"/>
          <w:sz w:val="20"/>
          <w:szCs w:val="26"/>
          <w:shd w:val="clear" w:color="auto" w:fill="FFFFFF"/>
        </w:rPr>
        <w:t xml:space="preserve">ent. L’Association Guinéenne de </w:t>
      </w:r>
      <w:r w:rsidRPr="00E407F8">
        <w:rPr>
          <w:rFonts w:ascii="Garamond" w:hAnsi="Garamond" w:cs="Arial"/>
          <w:color w:val="222222"/>
          <w:sz w:val="20"/>
          <w:szCs w:val="26"/>
          <w:shd w:val="clear" w:color="auto" w:fill="FFFFFF"/>
        </w:rPr>
        <w:t>Sciences Politiques utilise la répartition du fichier électoral de</w:t>
      </w:r>
      <w:r w:rsidR="00251A5D" w:rsidRPr="00E407F8">
        <w:rPr>
          <w:rFonts w:ascii="Garamond" w:hAnsi="Garamond" w:cs="Arial"/>
          <w:color w:val="222222"/>
          <w:sz w:val="20"/>
          <w:szCs w:val="26"/>
          <w:shd w:val="clear" w:color="auto" w:fill="FFFFFF"/>
        </w:rPr>
        <w:t xml:space="preserve"> la CENI (Commission Electorale Nationale Indépendante). </w:t>
      </w:r>
      <w:r w:rsidRPr="00E407F8">
        <w:rPr>
          <w:rFonts w:ascii="Garamond" w:hAnsi="Garamond" w:cs="Arial"/>
          <w:color w:val="222222"/>
          <w:sz w:val="20"/>
          <w:szCs w:val="26"/>
          <w:shd w:val="clear" w:color="auto" w:fill="FFFFFF"/>
        </w:rPr>
        <w:t>Problème de base lié à l’inexistence d’une base d</w:t>
      </w:r>
      <w:r w:rsidR="00251A5D" w:rsidRPr="00E407F8">
        <w:rPr>
          <w:rFonts w:ascii="Garamond" w:hAnsi="Garamond" w:cs="Arial"/>
          <w:color w:val="222222"/>
          <w:sz w:val="20"/>
          <w:szCs w:val="26"/>
          <w:shd w:val="clear" w:color="auto" w:fill="FFFFFF"/>
        </w:rPr>
        <w:t xml:space="preserve">e sondage à jour, complète avec </w:t>
      </w:r>
      <w:r w:rsidRPr="00E407F8">
        <w:rPr>
          <w:rFonts w:ascii="Garamond" w:hAnsi="Garamond" w:cs="Arial"/>
          <w:color w:val="222222"/>
          <w:sz w:val="20"/>
          <w:szCs w:val="26"/>
          <w:shd w:val="clear" w:color="auto" w:fill="FFFFFF"/>
        </w:rPr>
        <w:t>adressage : quelles conséquences pour les enquêtes (pas p</w:t>
      </w:r>
      <w:r w:rsidR="00251A5D" w:rsidRPr="00E407F8">
        <w:rPr>
          <w:rFonts w:ascii="Garamond" w:hAnsi="Garamond" w:cs="Arial"/>
          <w:color w:val="222222"/>
          <w:sz w:val="20"/>
          <w:szCs w:val="26"/>
          <w:shd w:val="clear" w:color="auto" w:fill="FFFFFF"/>
        </w:rPr>
        <w:t xml:space="preserve">ossible de tirer un échantillon </w:t>
      </w:r>
      <w:r w:rsidRPr="00E407F8">
        <w:rPr>
          <w:rFonts w:ascii="Garamond" w:hAnsi="Garamond" w:cs="Arial"/>
          <w:color w:val="222222"/>
          <w:sz w:val="20"/>
          <w:szCs w:val="26"/>
          <w:shd w:val="clear" w:color="auto" w:fill="FFFFFF"/>
        </w:rPr>
        <w:t>probabiliste)</w:t>
      </w:r>
    </w:p>
    <w:p w14:paraId="07326C05" w14:textId="77777777" w:rsidR="00E2586A" w:rsidRPr="000E0E3A" w:rsidRDefault="00E2586A" w:rsidP="00251A5D">
      <w:pPr>
        <w:spacing w:line="240" w:lineRule="auto"/>
        <w:jc w:val="both"/>
        <w:rPr>
          <w:rFonts w:ascii="Garamond" w:hAnsi="Garamond"/>
          <w:sz w:val="24"/>
          <w:szCs w:val="24"/>
        </w:rPr>
      </w:pPr>
    </w:p>
    <w:sectPr w:rsidR="00E2586A" w:rsidRPr="000E0E3A" w:rsidSect="00570E3F">
      <w:headerReference w:type="default" r:id="rId18"/>
      <w:footerReference w:type="default" r:id="rId19"/>
      <w:pgSz w:w="11906" w:h="16838"/>
      <w:pgMar w:top="1418" w:right="1418" w:bottom="1418" w:left="1418" w:header="28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B3564" w14:textId="77777777" w:rsidR="004F5E81" w:rsidRDefault="004F5E81" w:rsidP="0003713F">
      <w:pPr>
        <w:spacing w:after="0" w:line="240" w:lineRule="auto"/>
      </w:pPr>
      <w:r>
        <w:separator/>
      </w:r>
    </w:p>
  </w:endnote>
  <w:endnote w:type="continuationSeparator" w:id="0">
    <w:p w14:paraId="38B2E9D2" w14:textId="77777777" w:rsidR="004F5E81" w:rsidRDefault="004F5E81" w:rsidP="00037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709462931"/>
      <w:docPartObj>
        <w:docPartGallery w:val="Page Numbers (Bottom of Page)"/>
        <w:docPartUnique/>
      </w:docPartObj>
    </w:sdtPr>
    <w:sdtEndPr/>
    <w:sdtContent>
      <w:p w14:paraId="6D4710AF" w14:textId="43CFFB04" w:rsidR="00570E3F" w:rsidRDefault="004F5E81" w:rsidP="00E407F8">
        <w:pPr>
          <w:pStyle w:val="Pieddepage"/>
          <w:jc w:val="center"/>
          <w:rPr>
            <w:rFonts w:ascii="Garamond" w:hAnsi="Garamond"/>
          </w:rPr>
        </w:pPr>
        <w:hyperlink r:id="rId1" w:history="1">
          <w:r w:rsidR="00F5099B" w:rsidRPr="00BE2BE2">
            <w:rPr>
              <w:rStyle w:val="Lienhypertexte"/>
              <w:rFonts w:ascii="Garamond" w:hAnsi="Garamond"/>
            </w:rPr>
            <w:t>http://www.agsp-guinee.org</w:t>
          </w:r>
        </w:hyperlink>
        <w:r w:rsidR="00570E3F">
          <w:rPr>
            <w:rFonts w:ascii="Garamond" w:hAnsi="Garamond"/>
          </w:rPr>
          <w:t xml:space="preserve"> </w:t>
        </w:r>
      </w:p>
      <w:p w14:paraId="3FE9C98F" w14:textId="7D199FD5" w:rsidR="00E407F8" w:rsidRPr="00E407F8" w:rsidRDefault="00570E3F" w:rsidP="00570E3F">
        <w:pPr>
          <w:pStyle w:val="Pieddepage"/>
          <w:rPr>
            <w:rFonts w:ascii="Garamond" w:hAnsi="Garamond"/>
          </w:rPr>
        </w:pPr>
        <w:r>
          <w:rPr>
            <w:rFonts w:ascii="Garamond" w:hAnsi="Garamond"/>
          </w:rPr>
          <w:t xml:space="preserve">                                                            </w:t>
        </w:r>
        <w:hyperlink r:id="rId2" w:history="1">
          <w:r w:rsidRPr="00BE2BE2">
            <w:rPr>
              <w:rStyle w:val="Lienhypertexte"/>
              <w:rFonts w:ascii="Garamond" w:hAnsi="Garamond"/>
            </w:rPr>
            <w:t>Agspguinee@gmail.com</w:t>
          </w:r>
        </w:hyperlink>
        <w:r>
          <w:rPr>
            <w:rFonts w:ascii="Garamond" w:hAnsi="Garamond"/>
          </w:rPr>
          <w:t xml:space="preserve"> </w:t>
        </w:r>
        <w:r w:rsidRPr="00570E3F">
          <w:rPr>
            <w:rFonts w:ascii="Garamond" w:hAnsi="Garamond"/>
          </w:rPr>
          <w:t xml:space="preserve"> </w:t>
        </w:r>
        <w:r w:rsidRPr="00570E3F">
          <w:rPr>
            <w:rFonts w:ascii="Garamond" w:hAnsi="Garamond"/>
            <w:noProof/>
            <w:lang w:eastAsia="fr-FR"/>
          </w:rPr>
          <mc:AlternateContent>
            <mc:Choice Requires="wps">
              <w:drawing>
                <wp:anchor distT="0" distB="0" distL="114300" distR="114300" simplePos="0" relativeHeight="251659264" behindDoc="0" locked="0" layoutInCell="0" allowOverlap="1" wp14:anchorId="54110D9B" wp14:editId="23C66C11">
                  <wp:simplePos x="0" y="0"/>
                  <wp:positionH relativeFrom="rightMargin">
                    <wp:posOffset>11264</wp:posOffset>
                  </wp:positionH>
                  <wp:positionV relativeFrom="bottomMargin">
                    <wp:posOffset>67916</wp:posOffset>
                  </wp:positionV>
                  <wp:extent cx="368300" cy="381663"/>
                  <wp:effectExtent l="0" t="0" r="12700" b="18415"/>
                  <wp:wrapNone/>
                  <wp:docPr id="13" name="Carré corné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1663"/>
                          </a:xfrm>
                          <a:prstGeom prst="foldedCorner">
                            <a:avLst>
                              <a:gd name="adj" fmla="val 34560"/>
                            </a:avLst>
                          </a:prstGeom>
                          <a:solidFill>
                            <a:srgbClr val="FFFFFF"/>
                          </a:solidFill>
                          <a:ln w="3175">
                            <a:solidFill>
                              <a:srgbClr val="808080"/>
                            </a:solidFill>
                            <a:round/>
                            <a:headEnd/>
                            <a:tailEnd/>
                          </a:ln>
                        </wps:spPr>
                        <wps:txbx>
                          <w:txbxContent>
                            <w:p w14:paraId="2D43D385" w14:textId="5E2544E7" w:rsidR="00570E3F" w:rsidRPr="00570E3F" w:rsidRDefault="00570E3F">
                              <w:pPr>
                                <w:jc w:val="center"/>
                                <w:rPr>
                                  <w:sz w:val="28"/>
                                </w:rPr>
                              </w:pPr>
                              <w:r w:rsidRPr="00570E3F">
                                <w:rPr>
                                  <w:sz w:val="28"/>
                                </w:rPr>
                                <w:fldChar w:fldCharType="begin"/>
                              </w:r>
                              <w:r w:rsidRPr="00570E3F">
                                <w:rPr>
                                  <w:sz w:val="28"/>
                                </w:rPr>
                                <w:instrText>PAGE    \* MERGEFORMAT</w:instrText>
                              </w:r>
                              <w:r w:rsidRPr="00570E3F">
                                <w:rPr>
                                  <w:sz w:val="28"/>
                                </w:rPr>
                                <w:fldChar w:fldCharType="separate"/>
                              </w:r>
                              <w:r w:rsidR="009E41F0" w:rsidRPr="009E41F0">
                                <w:rPr>
                                  <w:noProof/>
                                  <w:sz w:val="20"/>
                                  <w:szCs w:val="16"/>
                                </w:rPr>
                                <w:t>7</w:t>
                              </w:r>
                              <w:r w:rsidRPr="00570E3F">
                                <w:rPr>
                                  <w:sz w:val="20"/>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10D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3" o:spid="_x0000_s1026" type="#_x0000_t65" style="position:absolute;margin-left:.9pt;margin-top:5.35pt;width:29pt;height:30.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" o:allowincell="f" adj="14135" strokecolor="gray" strokeweight=".25pt">
                  <v:textbox>
                    <w:txbxContent>
                      <w:p w14:paraId="2D43D385" w14:textId="5E2544E7" w:rsidR="00570E3F" w:rsidRPr="00570E3F" w:rsidRDefault="00570E3F">
                        <w:pPr>
                          <w:jc w:val="center"/>
                          <w:rPr>
                            <w:sz w:val="28"/>
                          </w:rPr>
                        </w:pPr>
                        <w:r w:rsidRPr="00570E3F">
                          <w:rPr>
                            <w:sz w:val="28"/>
                          </w:rPr>
                          <w:fldChar w:fldCharType="begin"/>
                        </w:r>
                        <w:r w:rsidRPr="00570E3F">
                          <w:rPr>
                            <w:sz w:val="28"/>
                          </w:rPr>
                          <w:instrText>PAGE    \* MERGEFORMAT</w:instrText>
                        </w:r>
                        <w:r w:rsidRPr="00570E3F">
                          <w:rPr>
                            <w:sz w:val="28"/>
                          </w:rPr>
                          <w:fldChar w:fldCharType="separate"/>
                        </w:r>
                        <w:r w:rsidR="009E41F0" w:rsidRPr="009E41F0">
                          <w:rPr>
                            <w:noProof/>
                            <w:sz w:val="20"/>
                            <w:szCs w:val="16"/>
                          </w:rPr>
                          <w:t>7</w:t>
                        </w:r>
                        <w:r w:rsidRPr="00570E3F">
                          <w:rPr>
                            <w:sz w:val="20"/>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80FCA" w14:textId="77777777" w:rsidR="004F5E81" w:rsidRDefault="004F5E81" w:rsidP="0003713F">
      <w:pPr>
        <w:spacing w:after="0" w:line="240" w:lineRule="auto"/>
      </w:pPr>
      <w:r>
        <w:separator/>
      </w:r>
    </w:p>
  </w:footnote>
  <w:footnote w:type="continuationSeparator" w:id="0">
    <w:p w14:paraId="125C2C55" w14:textId="77777777" w:rsidR="004F5E81" w:rsidRDefault="004F5E81" w:rsidP="0003713F">
      <w:pPr>
        <w:spacing w:after="0" w:line="240" w:lineRule="auto"/>
      </w:pPr>
      <w:r>
        <w:continuationSeparator/>
      </w:r>
    </w:p>
  </w:footnote>
  <w:footnote w:id="1">
    <w:p w14:paraId="65F89C6B" w14:textId="4ED86C2F" w:rsidR="00CB6C41" w:rsidRDefault="00CB6C41" w:rsidP="00CB6C41">
      <w:pPr>
        <w:pStyle w:val="Notedebasdepage"/>
        <w:jc w:val="both"/>
      </w:pPr>
      <w:r>
        <w:rPr>
          <w:rStyle w:val="Appelnotedebasdep"/>
        </w:rPr>
        <w:footnoteRef/>
      </w:r>
      <w:r>
        <w:t xml:space="preserve"> </w:t>
      </w:r>
      <w:r w:rsidR="008B321B">
        <w:rPr>
          <w:rFonts w:ascii="Garamond" w:hAnsi="Garamond" w:cs="Arial"/>
          <w:color w:val="222222"/>
          <w:szCs w:val="26"/>
          <w:shd w:val="clear" w:color="auto" w:fill="FFFFFF"/>
        </w:rPr>
        <w:t xml:space="preserve">Lorsque </w:t>
      </w:r>
      <w:r w:rsidRPr="00CB6C41">
        <w:rPr>
          <w:rFonts w:ascii="Garamond" w:hAnsi="Garamond" w:cs="Arial"/>
          <w:color w:val="222222"/>
          <w:szCs w:val="26"/>
          <w:shd w:val="clear" w:color="auto" w:fill="FFFFFF"/>
        </w:rPr>
        <w:t>la base de sondage</w:t>
      </w:r>
      <w:r>
        <w:rPr>
          <w:rFonts w:ascii="Garamond" w:hAnsi="Garamond" w:cs="Arial"/>
          <w:color w:val="222222"/>
          <w:szCs w:val="26"/>
          <w:shd w:val="clear" w:color="auto" w:fill="FFFFFF"/>
        </w:rPr>
        <w:t xml:space="preserve"> </w:t>
      </w:r>
      <w:r w:rsidR="008B321B">
        <w:rPr>
          <w:rFonts w:ascii="Garamond" w:hAnsi="Garamond" w:cs="Arial"/>
          <w:color w:val="222222"/>
          <w:szCs w:val="26"/>
          <w:shd w:val="clear" w:color="auto" w:fill="FFFFFF"/>
        </w:rPr>
        <w:t>ne donne pas suffisamment d’</w:t>
      </w:r>
      <w:r w:rsidR="00E407F8">
        <w:rPr>
          <w:rFonts w:ascii="Garamond" w:hAnsi="Garamond" w:cs="Arial"/>
          <w:color w:val="222222"/>
          <w:szCs w:val="26"/>
          <w:shd w:val="clear" w:color="auto" w:fill="FFFFFF"/>
        </w:rPr>
        <w:t xml:space="preserve">informations sur les personnes figurant dans les listes comme </w:t>
      </w:r>
      <w:r w:rsidR="00E407F8">
        <w:rPr>
          <w:rFonts w:ascii="Garamond" w:hAnsi="Garamond" w:cs="Arial"/>
          <w:i/>
          <w:color w:val="222222"/>
          <w:szCs w:val="26"/>
          <w:u w:val="single"/>
          <w:shd w:val="clear" w:color="auto" w:fill="FFFFFF"/>
        </w:rPr>
        <w:t>la répartition statistique finale</w:t>
      </w:r>
      <w:r w:rsidRPr="00E2586A">
        <w:rPr>
          <w:rFonts w:ascii="Garamond" w:hAnsi="Garamond" w:cs="Arial"/>
          <w:i/>
          <w:color w:val="222222"/>
          <w:szCs w:val="26"/>
          <w:u w:val="single"/>
          <w:shd w:val="clear" w:color="auto" w:fill="FFFFFF"/>
        </w:rPr>
        <w:t xml:space="preserve"> du</w:t>
      </w:r>
      <w:r w:rsidR="00E407F8">
        <w:rPr>
          <w:rFonts w:ascii="Garamond" w:hAnsi="Garamond" w:cs="Arial"/>
          <w:i/>
          <w:color w:val="222222"/>
          <w:szCs w:val="26"/>
          <w:u w:val="single"/>
          <w:shd w:val="clear" w:color="auto" w:fill="FFFFFF"/>
        </w:rPr>
        <w:t xml:space="preserve"> dernier </w:t>
      </w:r>
      <w:r w:rsidR="00E407F8" w:rsidRPr="00E2586A">
        <w:rPr>
          <w:rFonts w:ascii="Garamond" w:hAnsi="Garamond" w:cs="Arial"/>
          <w:i/>
          <w:color w:val="222222"/>
          <w:szCs w:val="26"/>
          <w:u w:val="single"/>
          <w:shd w:val="clear" w:color="auto" w:fill="FFFFFF"/>
        </w:rPr>
        <w:t>fichier</w:t>
      </w:r>
      <w:r w:rsidRPr="00E2586A">
        <w:rPr>
          <w:rFonts w:ascii="Garamond" w:hAnsi="Garamond" w:cs="Arial"/>
          <w:i/>
          <w:color w:val="222222"/>
          <w:szCs w:val="26"/>
          <w:u w:val="single"/>
          <w:shd w:val="clear" w:color="auto" w:fill="FFFFFF"/>
        </w:rPr>
        <w:t xml:space="preserve"> électoral rendu public le 14 septembre 2020 par la Commission électorale nationale indépendante</w:t>
      </w:r>
      <w:r w:rsidRPr="00E2586A">
        <w:rPr>
          <w:rFonts w:ascii="Garamond" w:hAnsi="Garamond" w:cs="Arial"/>
          <w:i/>
          <w:color w:val="222222"/>
          <w:szCs w:val="26"/>
          <w:shd w:val="clear" w:color="auto" w:fill="FFFFFF"/>
        </w:rPr>
        <w:t>,</w:t>
      </w:r>
      <w:r w:rsidRPr="00CB6C41">
        <w:rPr>
          <w:rFonts w:ascii="Garamond" w:hAnsi="Garamond" w:cs="Arial"/>
          <w:color w:val="222222"/>
          <w:szCs w:val="26"/>
          <w:shd w:val="clear" w:color="auto" w:fill="FFFFFF"/>
        </w:rPr>
        <w:t xml:space="preserve"> on utilise une méthode d’échantillonnage empirique (non probability sampling) pour laquelle le choix des individus est raisonné. Dans ce cas, on utilisera la technique des quotas (quota sampling) pour définir les caractéristiques de l’échantillon au regard de celles de la population de base, ou la technique des itinéraires (random route sampling), également appelée méthode de Politz, pour laquelle l’enquêteur dispose d’un point de départ et d’un itinéraire à suivre, pour réaliser son enquête</w:t>
      </w:r>
      <w:r w:rsidRPr="00CB6C41">
        <w:rPr>
          <w:rFonts w:ascii="Garamond" w:hAnsi="Garamond" w:cs="Arial"/>
          <w:color w:val="222222"/>
          <w:sz w:val="22"/>
          <w:szCs w:val="2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57EF" w14:textId="01F796FA" w:rsidR="00A14E13" w:rsidRDefault="00A14E13">
    <w:pPr>
      <w:pStyle w:val="En-tte"/>
    </w:pPr>
    <w:r>
      <w:rPr>
        <w:noProof/>
        <w:lang w:eastAsia="fr-FR"/>
      </w:rPr>
      <w:drawing>
        <wp:inline distT="0" distB="0" distL="0" distR="0" wp14:anchorId="1267A2FB" wp14:editId="2CE42678">
          <wp:extent cx="1261110" cy="1012824"/>
          <wp:effectExtent l="0" t="0" r="0" b="0"/>
          <wp:docPr id="1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 cstate="print"/>
                  <a:srcRect/>
                  <a:stretch/>
                </pic:blipFill>
                <pic:spPr>
                  <a:xfrm>
                    <a:off x="0" y="0"/>
                    <a:ext cx="1261110" cy="1012824"/>
                  </a:xfrm>
                  <a:prstGeom prst="rect">
                    <a:avLst/>
                  </a:prstGeom>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2584C"/>
    <w:multiLevelType w:val="hybridMultilevel"/>
    <w:tmpl w:val="B4D84B7E"/>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15C05BF"/>
    <w:multiLevelType w:val="hybridMultilevel"/>
    <w:tmpl w:val="C5283E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BDD09B7"/>
    <w:multiLevelType w:val="hybridMultilevel"/>
    <w:tmpl w:val="614ACA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703C2B"/>
    <w:multiLevelType w:val="hybridMultilevel"/>
    <w:tmpl w:val="C5283E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8EA0B45"/>
    <w:multiLevelType w:val="hybridMultilevel"/>
    <w:tmpl w:val="C5283E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CFA5A11"/>
    <w:multiLevelType w:val="hybridMultilevel"/>
    <w:tmpl w:val="31BA15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E7E70F3"/>
    <w:multiLevelType w:val="hybridMultilevel"/>
    <w:tmpl w:val="C5283E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6685"/>
    <w:rsid w:val="0003713F"/>
    <w:rsid w:val="000414A3"/>
    <w:rsid w:val="00066077"/>
    <w:rsid w:val="000661C9"/>
    <w:rsid w:val="00076162"/>
    <w:rsid w:val="00077C01"/>
    <w:rsid w:val="000E0E3A"/>
    <w:rsid w:val="000F6685"/>
    <w:rsid w:val="001865FD"/>
    <w:rsid w:val="001B7D94"/>
    <w:rsid w:val="001C7D69"/>
    <w:rsid w:val="001F0E70"/>
    <w:rsid w:val="00200B3B"/>
    <w:rsid w:val="00202CF0"/>
    <w:rsid w:val="00231014"/>
    <w:rsid w:val="00231AD0"/>
    <w:rsid w:val="00251A5D"/>
    <w:rsid w:val="0026348E"/>
    <w:rsid w:val="00282D69"/>
    <w:rsid w:val="00283373"/>
    <w:rsid w:val="002A3C7A"/>
    <w:rsid w:val="002D198D"/>
    <w:rsid w:val="002D3FBB"/>
    <w:rsid w:val="002E498D"/>
    <w:rsid w:val="00314A14"/>
    <w:rsid w:val="00340EDC"/>
    <w:rsid w:val="00350C85"/>
    <w:rsid w:val="003912D8"/>
    <w:rsid w:val="00394A6C"/>
    <w:rsid w:val="003965EA"/>
    <w:rsid w:val="003A14E7"/>
    <w:rsid w:val="003B266D"/>
    <w:rsid w:val="003D650F"/>
    <w:rsid w:val="003F3013"/>
    <w:rsid w:val="004550B2"/>
    <w:rsid w:val="0045525D"/>
    <w:rsid w:val="00482BAE"/>
    <w:rsid w:val="00490EB3"/>
    <w:rsid w:val="004A1DB3"/>
    <w:rsid w:val="004C01D8"/>
    <w:rsid w:val="004F5E81"/>
    <w:rsid w:val="005275FE"/>
    <w:rsid w:val="00530685"/>
    <w:rsid w:val="00542494"/>
    <w:rsid w:val="00570E3F"/>
    <w:rsid w:val="005B5A81"/>
    <w:rsid w:val="005F28A3"/>
    <w:rsid w:val="00624709"/>
    <w:rsid w:val="00626149"/>
    <w:rsid w:val="00683020"/>
    <w:rsid w:val="006B6979"/>
    <w:rsid w:val="00716119"/>
    <w:rsid w:val="00750559"/>
    <w:rsid w:val="00763A1C"/>
    <w:rsid w:val="007713F7"/>
    <w:rsid w:val="007816A9"/>
    <w:rsid w:val="007D0362"/>
    <w:rsid w:val="007E529B"/>
    <w:rsid w:val="00834343"/>
    <w:rsid w:val="008A7BAF"/>
    <w:rsid w:val="008B321B"/>
    <w:rsid w:val="008C5238"/>
    <w:rsid w:val="008E2434"/>
    <w:rsid w:val="008E6619"/>
    <w:rsid w:val="008E6E09"/>
    <w:rsid w:val="008F3697"/>
    <w:rsid w:val="009735F4"/>
    <w:rsid w:val="00996F69"/>
    <w:rsid w:val="009A35D2"/>
    <w:rsid w:val="009B796F"/>
    <w:rsid w:val="009C7840"/>
    <w:rsid w:val="009E1198"/>
    <w:rsid w:val="009E41F0"/>
    <w:rsid w:val="009E49A0"/>
    <w:rsid w:val="00A05C6C"/>
    <w:rsid w:val="00A076D0"/>
    <w:rsid w:val="00A14E13"/>
    <w:rsid w:val="00A21AE4"/>
    <w:rsid w:val="00A271E5"/>
    <w:rsid w:val="00A32741"/>
    <w:rsid w:val="00A37809"/>
    <w:rsid w:val="00A430AE"/>
    <w:rsid w:val="00A62288"/>
    <w:rsid w:val="00A85B79"/>
    <w:rsid w:val="00AA34D9"/>
    <w:rsid w:val="00AB75B1"/>
    <w:rsid w:val="00AD173A"/>
    <w:rsid w:val="00B105C0"/>
    <w:rsid w:val="00B1783B"/>
    <w:rsid w:val="00B41B4C"/>
    <w:rsid w:val="00B718A9"/>
    <w:rsid w:val="00BF5BCB"/>
    <w:rsid w:val="00C238A9"/>
    <w:rsid w:val="00C57E4B"/>
    <w:rsid w:val="00C64049"/>
    <w:rsid w:val="00C726AB"/>
    <w:rsid w:val="00C81F57"/>
    <w:rsid w:val="00C91329"/>
    <w:rsid w:val="00CB6C41"/>
    <w:rsid w:val="00D0510D"/>
    <w:rsid w:val="00D07C6D"/>
    <w:rsid w:val="00D645D2"/>
    <w:rsid w:val="00DA3E4A"/>
    <w:rsid w:val="00DE2E37"/>
    <w:rsid w:val="00E2586A"/>
    <w:rsid w:val="00E25D6D"/>
    <w:rsid w:val="00E407F8"/>
    <w:rsid w:val="00E5658A"/>
    <w:rsid w:val="00E7182F"/>
    <w:rsid w:val="00F30879"/>
    <w:rsid w:val="00F5099B"/>
    <w:rsid w:val="00F650B6"/>
    <w:rsid w:val="00F7548C"/>
    <w:rsid w:val="00FA212A"/>
    <w:rsid w:val="00FA40B7"/>
    <w:rsid w:val="00FD14AC"/>
    <w:rsid w:val="00FE10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4BC977"/>
  <w15:docId w15:val="{80980809-AD94-453F-9903-3A9267D8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685"/>
  </w:style>
  <w:style w:type="paragraph" w:styleId="Titre1">
    <w:name w:val="heading 1"/>
    <w:basedOn w:val="Normal"/>
    <w:next w:val="Normal"/>
    <w:link w:val="Titre1Car"/>
    <w:uiPriority w:val="9"/>
    <w:qFormat/>
    <w:rsid w:val="000F66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F6685"/>
    <w:rPr>
      <w:rFonts w:asciiTheme="majorHAnsi" w:eastAsiaTheme="majorEastAsia" w:hAnsiTheme="majorHAnsi" w:cstheme="majorBidi"/>
      <w:color w:val="2E74B5" w:themeColor="accent1" w:themeShade="BF"/>
      <w:sz w:val="32"/>
      <w:szCs w:val="32"/>
    </w:rPr>
  </w:style>
  <w:style w:type="paragraph" w:styleId="En-tte">
    <w:name w:val="header"/>
    <w:basedOn w:val="Normal"/>
    <w:link w:val="En-tteCar"/>
    <w:uiPriority w:val="99"/>
    <w:unhideWhenUsed/>
    <w:rsid w:val="0003713F"/>
    <w:pPr>
      <w:tabs>
        <w:tab w:val="center" w:pos="4536"/>
        <w:tab w:val="right" w:pos="9072"/>
      </w:tabs>
      <w:spacing w:after="0" w:line="240" w:lineRule="auto"/>
    </w:pPr>
  </w:style>
  <w:style w:type="character" w:customStyle="1" w:styleId="En-tteCar">
    <w:name w:val="En-tête Car"/>
    <w:basedOn w:val="Policepardfaut"/>
    <w:link w:val="En-tte"/>
    <w:uiPriority w:val="99"/>
    <w:rsid w:val="0003713F"/>
  </w:style>
  <w:style w:type="paragraph" w:styleId="Pieddepage">
    <w:name w:val="footer"/>
    <w:basedOn w:val="Normal"/>
    <w:link w:val="PieddepageCar"/>
    <w:uiPriority w:val="99"/>
    <w:unhideWhenUsed/>
    <w:rsid w:val="000371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713F"/>
  </w:style>
  <w:style w:type="paragraph" w:styleId="En-ttedetabledesmatires">
    <w:name w:val="TOC Heading"/>
    <w:basedOn w:val="Titre1"/>
    <w:next w:val="Normal"/>
    <w:uiPriority w:val="39"/>
    <w:unhideWhenUsed/>
    <w:qFormat/>
    <w:rsid w:val="00077C01"/>
    <w:pPr>
      <w:outlineLvl w:val="9"/>
    </w:pPr>
    <w:rPr>
      <w:lang w:eastAsia="fr-FR"/>
    </w:rPr>
  </w:style>
  <w:style w:type="paragraph" w:styleId="TM1">
    <w:name w:val="toc 1"/>
    <w:basedOn w:val="Normal"/>
    <w:next w:val="Normal"/>
    <w:autoRedefine/>
    <w:uiPriority w:val="39"/>
    <w:unhideWhenUsed/>
    <w:rsid w:val="00077C01"/>
    <w:pPr>
      <w:spacing w:after="100"/>
    </w:pPr>
  </w:style>
  <w:style w:type="character" w:styleId="Lienhypertexte">
    <w:name w:val="Hyperlink"/>
    <w:basedOn w:val="Policepardfaut"/>
    <w:uiPriority w:val="99"/>
    <w:unhideWhenUsed/>
    <w:rsid w:val="00077C01"/>
    <w:rPr>
      <w:color w:val="0563C1" w:themeColor="hyperlink"/>
      <w:u w:val="single"/>
    </w:rPr>
  </w:style>
  <w:style w:type="paragraph" w:styleId="Textedebulles">
    <w:name w:val="Balloon Text"/>
    <w:basedOn w:val="Normal"/>
    <w:link w:val="TextedebullesCar"/>
    <w:uiPriority w:val="99"/>
    <w:semiHidden/>
    <w:unhideWhenUsed/>
    <w:rsid w:val="000661C9"/>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661C9"/>
    <w:rPr>
      <w:rFonts w:ascii="Lucida Grande" w:hAnsi="Lucida Grande" w:cs="Lucida Grande"/>
      <w:sz w:val="18"/>
      <w:szCs w:val="18"/>
    </w:rPr>
  </w:style>
  <w:style w:type="paragraph" w:styleId="Paragraphedeliste">
    <w:name w:val="List Paragraph"/>
    <w:basedOn w:val="Normal"/>
    <w:uiPriority w:val="34"/>
    <w:qFormat/>
    <w:rsid w:val="00A430AE"/>
    <w:pPr>
      <w:ind w:left="720"/>
      <w:contextualSpacing/>
    </w:pPr>
  </w:style>
  <w:style w:type="paragraph" w:styleId="Notedebasdepage">
    <w:name w:val="footnote text"/>
    <w:basedOn w:val="Normal"/>
    <w:link w:val="NotedebasdepageCar"/>
    <w:uiPriority w:val="99"/>
    <w:semiHidden/>
    <w:unhideWhenUsed/>
    <w:rsid w:val="00CB6C4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B6C41"/>
    <w:rPr>
      <w:sz w:val="20"/>
      <w:szCs w:val="20"/>
    </w:rPr>
  </w:style>
  <w:style w:type="character" w:styleId="Appelnotedebasdep">
    <w:name w:val="footnote reference"/>
    <w:basedOn w:val="Policepardfaut"/>
    <w:uiPriority w:val="99"/>
    <w:semiHidden/>
    <w:unhideWhenUsed/>
    <w:rsid w:val="00CB6C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92911">
      <w:bodyDiv w:val="1"/>
      <w:marLeft w:val="0"/>
      <w:marRight w:val="0"/>
      <w:marTop w:val="0"/>
      <w:marBottom w:val="0"/>
      <w:divBdr>
        <w:top w:val="none" w:sz="0" w:space="0" w:color="auto"/>
        <w:left w:val="none" w:sz="0" w:space="0" w:color="auto"/>
        <w:bottom w:val="none" w:sz="0" w:space="0" w:color="auto"/>
        <w:right w:val="none" w:sz="0" w:space="0" w:color="auto"/>
      </w:divBdr>
    </w:div>
    <w:div w:id="240604592">
      <w:bodyDiv w:val="1"/>
      <w:marLeft w:val="0"/>
      <w:marRight w:val="0"/>
      <w:marTop w:val="0"/>
      <w:marBottom w:val="0"/>
      <w:divBdr>
        <w:top w:val="none" w:sz="0" w:space="0" w:color="auto"/>
        <w:left w:val="none" w:sz="0" w:space="0" w:color="auto"/>
        <w:bottom w:val="none" w:sz="0" w:space="0" w:color="auto"/>
        <w:right w:val="none" w:sz="0" w:space="0" w:color="auto"/>
      </w:divBdr>
    </w:div>
    <w:div w:id="280310199">
      <w:bodyDiv w:val="1"/>
      <w:marLeft w:val="0"/>
      <w:marRight w:val="0"/>
      <w:marTop w:val="0"/>
      <w:marBottom w:val="0"/>
      <w:divBdr>
        <w:top w:val="none" w:sz="0" w:space="0" w:color="auto"/>
        <w:left w:val="none" w:sz="0" w:space="0" w:color="auto"/>
        <w:bottom w:val="none" w:sz="0" w:space="0" w:color="auto"/>
        <w:right w:val="none" w:sz="0" w:space="0" w:color="auto"/>
      </w:divBdr>
    </w:div>
    <w:div w:id="325863062">
      <w:bodyDiv w:val="1"/>
      <w:marLeft w:val="0"/>
      <w:marRight w:val="0"/>
      <w:marTop w:val="0"/>
      <w:marBottom w:val="0"/>
      <w:divBdr>
        <w:top w:val="none" w:sz="0" w:space="0" w:color="auto"/>
        <w:left w:val="none" w:sz="0" w:space="0" w:color="auto"/>
        <w:bottom w:val="none" w:sz="0" w:space="0" w:color="auto"/>
        <w:right w:val="none" w:sz="0" w:space="0" w:color="auto"/>
      </w:divBdr>
    </w:div>
    <w:div w:id="555091700">
      <w:bodyDiv w:val="1"/>
      <w:marLeft w:val="0"/>
      <w:marRight w:val="0"/>
      <w:marTop w:val="0"/>
      <w:marBottom w:val="0"/>
      <w:divBdr>
        <w:top w:val="none" w:sz="0" w:space="0" w:color="auto"/>
        <w:left w:val="none" w:sz="0" w:space="0" w:color="auto"/>
        <w:bottom w:val="none" w:sz="0" w:space="0" w:color="auto"/>
        <w:right w:val="none" w:sz="0" w:space="0" w:color="auto"/>
      </w:divBdr>
    </w:div>
    <w:div w:id="607204918">
      <w:bodyDiv w:val="1"/>
      <w:marLeft w:val="0"/>
      <w:marRight w:val="0"/>
      <w:marTop w:val="0"/>
      <w:marBottom w:val="0"/>
      <w:divBdr>
        <w:top w:val="none" w:sz="0" w:space="0" w:color="auto"/>
        <w:left w:val="none" w:sz="0" w:space="0" w:color="auto"/>
        <w:bottom w:val="none" w:sz="0" w:space="0" w:color="auto"/>
        <w:right w:val="none" w:sz="0" w:space="0" w:color="auto"/>
      </w:divBdr>
    </w:div>
    <w:div w:id="635838626">
      <w:bodyDiv w:val="1"/>
      <w:marLeft w:val="0"/>
      <w:marRight w:val="0"/>
      <w:marTop w:val="0"/>
      <w:marBottom w:val="0"/>
      <w:divBdr>
        <w:top w:val="none" w:sz="0" w:space="0" w:color="auto"/>
        <w:left w:val="none" w:sz="0" w:space="0" w:color="auto"/>
        <w:bottom w:val="none" w:sz="0" w:space="0" w:color="auto"/>
        <w:right w:val="none" w:sz="0" w:space="0" w:color="auto"/>
      </w:divBdr>
    </w:div>
    <w:div w:id="684020128">
      <w:bodyDiv w:val="1"/>
      <w:marLeft w:val="0"/>
      <w:marRight w:val="0"/>
      <w:marTop w:val="0"/>
      <w:marBottom w:val="0"/>
      <w:divBdr>
        <w:top w:val="none" w:sz="0" w:space="0" w:color="auto"/>
        <w:left w:val="none" w:sz="0" w:space="0" w:color="auto"/>
        <w:bottom w:val="none" w:sz="0" w:space="0" w:color="auto"/>
        <w:right w:val="none" w:sz="0" w:space="0" w:color="auto"/>
      </w:divBdr>
    </w:div>
    <w:div w:id="729157128">
      <w:bodyDiv w:val="1"/>
      <w:marLeft w:val="0"/>
      <w:marRight w:val="0"/>
      <w:marTop w:val="0"/>
      <w:marBottom w:val="0"/>
      <w:divBdr>
        <w:top w:val="none" w:sz="0" w:space="0" w:color="auto"/>
        <w:left w:val="none" w:sz="0" w:space="0" w:color="auto"/>
        <w:bottom w:val="none" w:sz="0" w:space="0" w:color="auto"/>
        <w:right w:val="none" w:sz="0" w:space="0" w:color="auto"/>
      </w:divBdr>
    </w:div>
    <w:div w:id="914630629">
      <w:bodyDiv w:val="1"/>
      <w:marLeft w:val="0"/>
      <w:marRight w:val="0"/>
      <w:marTop w:val="0"/>
      <w:marBottom w:val="0"/>
      <w:divBdr>
        <w:top w:val="none" w:sz="0" w:space="0" w:color="auto"/>
        <w:left w:val="none" w:sz="0" w:space="0" w:color="auto"/>
        <w:bottom w:val="none" w:sz="0" w:space="0" w:color="auto"/>
        <w:right w:val="none" w:sz="0" w:space="0" w:color="auto"/>
      </w:divBdr>
    </w:div>
    <w:div w:id="1432627740">
      <w:bodyDiv w:val="1"/>
      <w:marLeft w:val="0"/>
      <w:marRight w:val="0"/>
      <w:marTop w:val="0"/>
      <w:marBottom w:val="0"/>
      <w:divBdr>
        <w:top w:val="none" w:sz="0" w:space="0" w:color="auto"/>
        <w:left w:val="none" w:sz="0" w:space="0" w:color="auto"/>
        <w:bottom w:val="none" w:sz="0" w:space="0" w:color="auto"/>
        <w:right w:val="none" w:sz="0" w:space="0" w:color="auto"/>
      </w:divBdr>
    </w:div>
    <w:div w:id="1518037633">
      <w:bodyDiv w:val="1"/>
      <w:marLeft w:val="0"/>
      <w:marRight w:val="0"/>
      <w:marTop w:val="0"/>
      <w:marBottom w:val="0"/>
      <w:divBdr>
        <w:top w:val="none" w:sz="0" w:space="0" w:color="auto"/>
        <w:left w:val="none" w:sz="0" w:space="0" w:color="auto"/>
        <w:bottom w:val="none" w:sz="0" w:space="0" w:color="auto"/>
        <w:right w:val="none" w:sz="0" w:space="0" w:color="auto"/>
      </w:divBdr>
    </w:div>
    <w:div w:id="1660229264">
      <w:bodyDiv w:val="1"/>
      <w:marLeft w:val="0"/>
      <w:marRight w:val="0"/>
      <w:marTop w:val="0"/>
      <w:marBottom w:val="0"/>
      <w:divBdr>
        <w:top w:val="none" w:sz="0" w:space="0" w:color="auto"/>
        <w:left w:val="none" w:sz="0" w:space="0" w:color="auto"/>
        <w:bottom w:val="none" w:sz="0" w:space="0" w:color="auto"/>
        <w:right w:val="none" w:sz="0" w:space="0" w:color="auto"/>
      </w:divBdr>
    </w:div>
    <w:div w:id="1878927405">
      <w:bodyDiv w:val="1"/>
      <w:marLeft w:val="0"/>
      <w:marRight w:val="0"/>
      <w:marTop w:val="0"/>
      <w:marBottom w:val="0"/>
      <w:divBdr>
        <w:top w:val="none" w:sz="0" w:space="0" w:color="auto"/>
        <w:left w:val="none" w:sz="0" w:space="0" w:color="auto"/>
        <w:bottom w:val="none" w:sz="0" w:space="0" w:color="auto"/>
        <w:right w:val="none" w:sz="0" w:space="0" w:color="auto"/>
      </w:divBdr>
    </w:div>
    <w:div w:id="19508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footer1.xml.rels><?xml version="1.0" encoding="UTF-8" standalone="yes"?>
<Relationships xmlns="http://schemas.openxmlformats.org/package/2006/relationships"><Relationship Id="rId2" Type="http://schemas.openxmlformats.org/officeDocument/2006/relationships/hyperlink" Target="mailto:Agspguinee@gmail.com" TargetMode="External"/><Relationship Id="rId1" Type="http://schemas.openxmlformats.org/officeDocument/2006/relationships/hyperlink" Target="http://www.agsp-guine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SSOURCE%20HUMAINE\Downloads\PERCEPTIONS_DES_GUINEENS_DU_PUTCH_-_all_versions_-_labels_-_2021-09-17-14-44-0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Croisement%20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ESSOURCE%20HUMAINE\Downloads\PERCEPTIONS_DES_GUINEENS_DU_PUTCH_-_all_versions_-_labels_-_2021-09-17-14-44-0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Croisement%20o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ESSOURCE%20HUMAINE\Downloads\PERCEPTIONS_DES_GUINEENS_DU_PUTCH_-_all_versions_-_labels_-_2021-09-17-14-44-0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Croisement%20o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ESSOURCE%20HUMAINE\Downloads\PERCEPTIONS_DES_GUINEENS_DU_PUTCH_-_all_versions_-_labels_-_2021-09-17-14-44-0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E:\Croisement%20ok.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RESSOURCE%20HUMAINE\Downloads\PERCEPTIONS_DES_GUINEENS_DU_PUTCH_-_all_versions_-_labels_-_2021-09-17-14-44-0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Garamond" panose="02020404030301010803" pitchFamily="18" charset="0"/>
                <a:ea typeface="+mn-ea"/>
                <a:cs typeface="+mn-cs"/>
              </a:defRPr>
            </a:pPr>
            <a:r>
              <a:rPr lang="fr-FR" b="1">
                <a:latin typeface="Garamond" panose="02020404030301010803" pitchFamily="18" charset="0"/>
              </a:rPr>
              <a:t>Soutien</a:t>
            </a:r>
            <a:r>
              <a:rPr lang="fr-FR" b="1" baseline="0">
                <a:latin typeface="Garamond" panose="02020404030301010803" pitchFamily="18" charset="0"/>
              </a:rPr>
              <a:t> au putsch</a:t>
            </a:r>
            <a:endParaRPr lang="fr-FR" b="1">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Garamond" panose="02020404030301010803" pitchFamily="18" charset="0"/>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0-0CA9-441B-88BB-64A362EC9939}"/>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Feuil1!$A$20:$A$24</c:f>
              <c:strCache>
                <c:ptCount val="5"/>
                <c:pt idx="0">
                  <c:v>Autres</c:v>
                </c:pt>
                <c:pt idx="1">
                  <c:v>Je ne soutiens aucune prise de pouvoir par l'armée Guinéenne</c:v>
                </c:pt>
                <c:pt idx="2">
                  <c:v>Je suis sans opinion</c:v>
                </c:pt>
                <c:pt idx="3">
                  <c:v>Le coup d'Etat du CNRD était inopportun</c:v>
                </c:pt>
                <c:pt idx="4">
                  <c:v>Le coup d'Etat est venu au bon moment</c:v>
                </c:pt>
              </c:strCache>
            </c:strRef>
          </c:cat>
          <c:val>
            <c:numRef>
              <c:f>Feuil1!$B$20:$B$24</c:f>
              <c:numCache>
                <c:formatCode>0.00</c:formatCode>
                <c:ptCount val="5"/>
                <c:pt idx="0">
                  <c:v>1.2048192771084341</c:v>
                </c:pt>
                <c:pt idx="1">
                  <c:v>13.05220883534137</c:v>
                </c:pt>
                <c:pt idx="2">
                  <c:v>10.04016064257028</c:v>
                </c:pt>
                <c:pt idx="3">
                  <c:v>12.04819277108434</c:v>
                </c:pt>
                <c:pt idx="4">
                  <c:v>63.654618473895567</c:v>
                </c:pt>
              </c:numCache>
            </c:numRef>
          </c:val>
          <c:extLst>
            <c:ext xmlns:c16="http://schemas.microsoft.com/office/drawing/2014/chart" uri="{C3380CC4-5D6E-409C-BE32-E72D297353CC}">
              <c16:uniqueId val="{00000000-67EC-4425-9C4A-5C4C75E696C7}"/>
            </c:ext>
          </c:extLst>
        </c:ser>
        <c:dLbls>
          <c:dLblPos val="outEnd"/>
          <c:showLegendKey val="0"/>
          <c:showVal val="1"/>
          <c:showCatName val="0"/>
          <c:showSerName val="0"/>
          <c:showPercent val="0"/>
          <c:showBubbleSize val="0"/>
        </c:dLbls>
        <c:gapWidth val="182"/>
        <c:axId val="-2134381864"/>
        <c:axId val="-2136521448"/>
      </c:barChart>
      <c:catAx>
        <c:axId val="-2134381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136521448"/>
        <c:crosses val="autoZero"/>
        <c:auto val="1"/>
        <c:lblAlgn val="ctr"/>
        <c:lblOffset val="100"/>
        <c:noMultiLvlLbl val="0"/>
      </c:catAx>
      <c:valAx>
        <c:axId val="-21365214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34381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Feuil2!$A$2</c:f>
              <c:strCache>
                <c:ptCount val="1"/>
                <c:pt idx="0">
                  <c:v>Je suis sans opinion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Feuil2!$B$2:$M$2</c:f>
              <c:numCache>
                <c:formatCode>General</c:formatCode>
                <c:ptCount val="12"/>
                <c:pt idx="0">
                  <c:v>0</c:v>
                </c:pt>
                <c:pt idx="1">
                  <c:v>18</c:v>
                </c:pt>
                <c:pt idx="2">
                  <c:v>3</c:v>
                </c:pt>
                <c:pt idx="3">
                  <c:v>12</c:v>
                </c:pt>
                <c:pt idx="4">
                  <c:v>13</c:v>
                </c:pt>
                <c:pt idx="5">
                  <c:v>6</c:v>
                </c:pt>
                <c:pt idx="6">
                  <c:v>26</c:v>
                </c:pt>
                <c:pt idx="7">
                  <c:v>1</c:v>
                </c:pt>
                <c:pt idx="8">
                  <c:v>4</c:v>
                </c:pt>
                <c:pt idx="9">
                  <c:v>5</c:v>
                </c:pt>
                <c:pt idx="10">
                  <c:v>2</c:v>
                </c:pt>
                <c:pt idx="11">
                  <c:v>9</c:v>
                </c:pt>
              </c:numCache>
            </c:numRef>
          </c:val>
          <c:extLst>
            <c:ext xmlns:c16="http://schemas.microsoft.com/office/drawing/2014/chart" uri="{C3380CC4-5D6E-409C-BE32-E72D297353CC}">
              <c16:uniqueId val="{00000000-6187-46EE-8827-B9BFF558A9B7}"/>
            </c:ext>
          </c:extLst>
        </c:ser>
        <c:ser>
          <c:idx val="1"/>
          <c:order val="1"/>
          <c:tx>
            <c:strRef>
              <c:f>Feuil2!$A$3</c:f>
              <c:strCache>
                <c:ptCount val="1"/>
                <c:pt idx="0">
                  <c:v>Je ne soutiens aucune prise de pouvoir par l'armée Guinéenne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Feuil2!$B$3:$M$3</c:f>
              <c:numCache>
                <c:formatCode>General</c:formatCode>
                <c:ptCount val="12"/>
                <c:pt idx="0">
                  <c:v>0</c:v>
                </c:pt>
                <c:pt idx="1">
                  <c:v>32</c:v>
                </c:pt>
                <c:pt idx="2">
                  <c:v>1</c:v>
                </c:pt>
                <c:pt idx="3">
                  <c:v>14</c:v>
                </c:pt>
                <c:pt idx="4">
                  <c:v>27</c:v>
                </c:pt>
                <c:pt idx="5">
                  <c:v>0</c:v>
                </c:pt>
                <c:pt idx="6">
                  <c:v>3</c:v>
                </c:pt>
                <c:pt idx="7">
                  <c:v>9</c:v>
                </c:pt>
                <c:pt idx="8">
                  <c:v>3</c:v>
                </c:pt>
                <c:pt idx="9">
                  <c:v>10</c:v>
                </c:pt>
                <c:pt idx="10">
                  <c:v>2</c:v>
                </c:pt>
                <c:pt idx="11">
                  <c:v>14</c:v>
                </c:pt>
              </c:numCache>
            </c:numRef>
          </c:val>
          <c:extLst>
            <c:ext xmlns:c16="http://schemas.microsoft.com/office/drawing/2014/chart" uri="{C3380CC4-5D6E-409C-BE32-E72D297353CC}">
              <c16:uniqueId val="{00000001-6187-46EE-8827-B9BFF558A9B7}"/>
            </c:ext>
          </c:extLst>
        </c:ser>
        <c:ser>
          <c:idx val="2"/>
          <c:order val="2"/>
          <c:tx>
            <c:strRef>
              <c:f>Feuil2!$A$4</c:f>
              <c:strCache>
                <c:ptCount val="1"/>
                <c:pt idx="0">
                  <c:v>Le coup d'Etat du CNRD était inopportun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Feuil2!$B$4:$M$4</c:f>
              <c:numCache>
                <c:formatCode>General</c:formatCode>
                <c:ptCount val="12"/>
                <c:pt idx="0">
                  <c:v>25</c:v>
                </c:pt>
                <c:pt idx="1">
                  <c:v>11</c:v>
                </c:pt>
                <c:pt idx="2">
                  <c:v>5</c:v>
                </c:pt>
                <c:pt idx="3">
                  <c:v>19</c:v>
                </c:pt>
                <c:pt idx="4">
                  <c:v>33</c:v>
                </c:pt>
                <c:pt idx="5">
                  <c:v>18</c:v>
                </c:pt>
                <c:pt idx="6">
                  <c:v>5</c:v>
                </c:pt>
                <c:pt idx="7">
                  <c:v>2</c:v>
                </c:pt>
                <c:pt idx="8">
                  <c:v>24</c:v>
                </c:pt>
                <c:pt idx="9">
                  <c:v>15</c:v>
                </c:pt>
                <c:pt idx="10">
                  <c:v>2</c:v>
                </c:pt>
                <c:pt idx="11">
                  <c:v>7</c:v>
                </c:pt>
              </c:numCache>
            </c:numRef>
          </c:val>
          <c:extLst>
            <c:ext xmlns:c16="http://schemas.microsoft.com/office/drawing/2014/chart" uri="{C3380CC4-5D6E-409C-BE32-E72D297353CC}">
              <c16:uniqueId val="{00000002-6187-46EE-8827-B9BFF558A9B7}"/>
            </c:ext>
          </c:extLst>
        </c:ser>
        <c:ser>
          <c:idx val="3"/>
          <c:order val="3"/>
          <c:tx>
            <c:strRef>
              <c:f>Feuil2!$A$5</c:f>
              <c:strCache>
                <c:ptCount val="1"/>
                <c:pt idx="0">
                  <c:v>Le coup d'Etat est venu au bon moment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Feuil2!$B$5:$M$5</c:f>
              <c:numCache>
                <c:formatCode>General</c:formatCode>
                <c:ptCount val="12"/>
                <c:pt idx="0">
                  <c:v>75</c:v>
                </c:pt>
                <c:pt idx="1">
                  <c:v>35</c:v>
                </c:pt>
                <c:pt idx="2">
                  <c:v>91</c:v>
                </c:pt>
                <c:pt idx="3">
                  <c:v>54</c:v>
                </c:pt>
                <c:pt idx="4">
                  <c:v>27</c:v>
                </c:pt>
                <c:pt idx="5">
                  <c:v>76</c:v>
                </c:pt>
                <c:pt idx="6">
                  <c:v>66</c:v>
                </c:pt>
                <c:pt idx="7">
                  <c:v>88</c:v>
                </c:pt>
                <c:pt idx="8">
                  <c:v>69</c:v>
                </c:pt>
                <c:pt idx="9">
                  <c:v>68</c:v>
                </c:pt>
                <c:pt idx="10">
                  <c:v>95</c:v>
                </c:pt>
                <c:pt idx="11">
                  <c:v>69</c:v>
                </c:pt>
              </c:numCache>
            </c:numRef>
          </c:val>
          <c:extLst>
            <c:ext xmlns:c16="http://schemas.microsoft.com/office/drawing/2014/chart" uri="{C3380CC4-5D6E-409C-BE32-E72D297353CC}">
              <c16:uniqueId val="{00000003-6187-46EE-8827-B9BFF558A9B7}"/>
            </c:ext>
          </c:extLst>
        </c:ser>
        <c:dLbls>
          <c:dLblPos val="outEnd"/>
          <c:showLegendKey val="0"/>
          <c:showVal val="1"/>
          <c:showCatName val="0"/>
          <c:showSerName val="0"/>
          <c:showPercent val="0"/>
          <c:showBubbleSize val="0"/>
        </c:dLbls>
        <c:gapWidth val="219"/>
        <c:overlap val="-27"/>
        <c:axId val="2072134760"/>
        <c:axId val="-2093503128"/>
      </c:barChart>
      <c:catAx>
        <c:axId val="207213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093503128"/>
        <c:crosses val="autoZero"/>
        <c:auto val="1"/>
        <c:lblAlgn val="ctr"/>
        <c:lblOffset val="100"/>
        <c:noMultiLvlLbl val="0"/>
      </c:catAx>
      <c:valAx>
        <c:axId val="-20935031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72134760"/>
        <c:crosses val="autoZero"/>
        <c:crossBetween val="between"/>
      </c:valAx>
      <c:spPr>
        <a:noFill/>
        <a:ln>
          <a:noFill/>
        </a:ln>
        <a:effectLst/>
      </c:spPr>
    </c:plotArea>
    <c:legend>
      <c:legendPos val="b"/>
      <c:layout>
        <c:manualLayout>
          <c:xMode val="edge"/>
          <c:yMode val="edge"/>
          <c:x val="4.2546771790691502E-3"/>
          <c:y val="0.740962986486847"/>
          <c:w val="0.99366770042052999"/>
          <c:h val="0.2312592192466710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latin typeface="Garamond" panose="02020404030301010803" pitchFamily="18" charset="0"/>
              </a:rPr>
              <a:t>Avez-vous confiance au CNRD?</a:t>
            </a:r>
          </a:p>
        </c:rich>
      </c:tx>
      <c:layout>
        <c:manualLayout>
          <c:xMode val="edge"/>
          <c:yMode val="edge"/>
          <c:x val="0.21956233595800501"/>
          <c:y val="2.77777777777778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8000-4AF0-8E03-25117594882F}"/>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8000-4AF0-8E03-25117594882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Feuil1!$A$27:$A$30</c:f>
              <c:strCache>
                <c:ptCount val="4"/>
                <c:pt idx="0">
                  <c:v>Pas du tout confiance</c:v>
                </c:pt>
                <c:pt idx="1">
                  <c:v>Peu confiance</c:v>
                </c:pt>
                <c:pt idx="2">
                  <c:v>Plutôt confiance</c:v>
                </c:pt>
                <c:pt idx="3">
                  <c:v>Tout à fait confiance</c:v>
                </c:pt>
              </c:strCache>
            </c:strRef>
          </c:cat>
          <c:val>
            <c:numRef>
              <c:f>Feuil1!$B$27:$B$30</c:f>
              <c:numCache>
                <c:formatCode>0.00</c:formatCode>
                <c:ptCount val="4"/>
                <c:pt idx="0">
                  <c:v>15.16064257028113</c:v>
                </c:pt>
                <c:pt idx="1">
                  <c:v>20.682730923694781</c:v>
                </c:pt>
                <c:pt idx="2">
                  <c:v>26.104417670682729</c:v>
                </c:pt>
                <c:pt idx="3">
                  <c:v>38.052208835341361</c:v>
                </c:pt>
              </c:numCache>
            </c:numRef>
          </c:val>
          <c:extLst>
            <c:ext xmlns:c16="http://schemas.microsoft.com/office/drawing/2014/chart" uri="{C3380CC4-5D6E-409C-BE32-E72D297353CC}">
              <c16:uniqueId val="{00000004-8000-4AF0-8E03-25117594882F}"/>
            </c:ext>
          </c:extLst>
        </c:ser>
        <c:dLbls>
          <c:dLblPos val="outEnd"/>
          <c:showLegendKey val="0"/>
          <c:showVal val="1"/>
          <c:showCatName val="0"/>
          <c:showSerName val="0"/>
          <c:showPercent val="0"/>
          <c:showBubbleSize val="0"/>
        </c:dLbls>
        <c:gapWidth val="182"/>
        <c:axId val="-2113029896"/>
        <c:axId val="-2133091368"/>
      </c:barChart>
      <c:catAx>
        <c:axId val="-2113029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133091368"/>
        <c:crosses val="autoZero"/>
        <c:auto val="1"/>
        <c:lblAlgn val="ctr"/>
        <c:lblOffset val="100"/>
        <c:noMultiLvlLbl val="0"/>
      </c:catAx>
      <c:valAx>
        <c:axId val="-213309136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13029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Feuil3!$A$2</c:f>
              <c:strCache>
                <c:ptCount val="1"/>
                <c:pt idx="0">
                  <c:v>Pas du tout confiance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Feuil3!$B$2:$M$2</c:f>
              <c:numCache>
                <c:formatCode>General</c:formatCode>
                <c:ptCount val="12"/>
                <c:pt idx="0">
                  <c:v>25</c:v>
                </c:pt>
                <c:pt idx="1">
                  <c:v>30</c:v>
                </c:pt>
                <c:pt idx="2">
                  <c:v>0</c:v>
                </c:pt>
                <c:pt idx="3">
                  <c:v>0</c:v>
                </c:pt>
                <c:pt idx="4">
                  <c:v>47</c:v>
                </c:pt>
                <c:pt idx="5">
                  <c:v>24</c:v>
                </c:pt>
                <c:pt idx="6">
                  <c:v>13</c:v>
                </c:pt>
                <c:pt idx="7">
                  <c:v>11</c:v>
                </c:pt>
                <c:pt idx="8">
                  <c:v>18</c:v>
                </c:pt>
                <c:pt idx="9">
                  <c:v>13</c:v>
                </c:pt>
                <c:pt idx="10">
                  <c:v>5</c:v>
                </c:pt>
                <c:pt idx="11">
                  <c:v>19</c:v>
                </c:pt>
              </c:numCache>
            </c:numRef>
          </c:val>
          <c:extLst>
            <c:ext xmlns:c16="http://schemas.microsoft.com/office/drawing/2014/chart" uri="{C3380CC4-5D6E-409C-BE32-E72D297353CC}">
              <c16:uniqueId val="{00000000-8568-4A71-A632-FD61E730DB5A}"/>
            </c:ext>
          </c:extLst>
        </c:ser>
        <c:ser>
          <c:idx val="1"/>
          <c:order val="1"/>
          <c:tx>
            <c:strRef>
              <c:f>Feuil3!$A$3</c:f>
              <c:strCache>
                <c:ptCount val="1"/>
                <c:pt idx="0">
                  <c:v>Peu confiance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Feuil3!$B$3:$M$3</c:f>
              <c:numCache>
                <c:formatCode>General</c:formatCode>
                <c:ptCount val="12"/>
                <c:pt idx="0">
                  <c:v>0</c:v>
                </c:pt>
                <c:pt idx="1">
                  <c:v>30</c:v>
                </c:pt>
                <c:pt idx="2">
                  <c:v>29</c:v>
                </c:pt>
                <c:pt idx="3">
                  <c:v>0</c:v>
                </c:pt>
                <c:pt idx="4">
                  <c:v>13</c:v>
                </c:pt>
                <c:pt idx="5">
                  <c:v>0</c:v>
                </c:pt>
                <c:pt idx="6">
                  <c:v>42</c:v>
                </c:pt>
                <c:pt idx="7">
                  <c:v>39</c:v>
                </c:pt>
                <c:pt idx="8">
                  <c:v>34</c:v>
                </c:pt>
                <c:pt idx="9">
                  <c:v>32</c:v>
                </c:pt>
                <c:pt idx="10">
                  <c:v>30</c:v>
                </c:pt>
                <c:pt idx="11">
                  <c:v>21</c:v>
                </c:pt>
              </c:numCache>
            </c:numRef>
          </c:val>
          <c:extLst>
            <c:ext xmlns:c16="http://schemas.microsoft.com/office/drawing/2014/chart" uri="{C3380CC4-5D6E-409C-BE32-E72D297353CC}">
              <c16:uniqueId val="{00000001-8568-4A71-A632-FD61E730DB5A}"/>
            </c:ext>
          </c:extLst>
        </c:ser>
        <c:ser>
          <c:idx val="2"/>
          <c:order val="2"/>
          <c:tx>
            <c:strRef>
              <c:f>Feuil3!$A$4</c:f>
              <c:strCache>
                <c:ptCount val="1"/>
                <c:pt idx="0">
                  <c:v>Plutôt confiance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Feuil3!$B$4:$M$4</c:f>
              <c:numCache>
                <c:formatCode>General</c:formatCode>
                <c:ptCount val="12"/>
                <c:pt idx="0">
                  <c:v>0</c:v>
                </c:pt>
                <c:pt idx="1">
                  <c:v>14</c:v>
                </c:pt>
                <c:pt idx="2">
                  <c:v>46</c:v>
                </c:pt>
                <c:pt idx="3">
                  <c:v>27</c:v>
                </c:pt>
                <c:pt idx="4">
                  <c:v>0</c:v>
                </c:pt>
                <c:pt idx="5">
                  <c:v>12</c:v>
                </c:pt>
                <c:pt idx="6">
                  <c:v>10</c:v>
                </c:pt>
                <c:pt idx="7">
                  <c:v>35</c:v>
                </c:pt>
                <c:pt idx="8">
                  <c:v>15</c:v>
                </c:pt>
                <c:pt idx="9">
                  <c:v>18</c:v>
                </c:pt>
                <c:pt idx="10">
                  <c:v>22</c:v>
                </c:pt>
                <c:pt idx="11">
                  <c:v>18</c:v>
                </c:pt>
              </c:numCache>
            </c:numRef>
          </c:val>
          <c:extLst>
            <c:ext xmlns:c16="http://schemas.microsoft.com/office/drawing/2014/chart" uri="{C3380CC4-5D6E-409C-BE32-E72D297353CC}">
              <c16:uniqueId val="{00000002-8568-4A71-A632-FD61E730DB5A}"/>
            </c:ext>
          </c:extLst>
        </c:ser>
        <c:ser>
          <c:idx val="3"/>
          <c:order val="3"/>
          <c:tx>
            <c:strRef>
              <c:f>Feuil3!$A$5</c:f>
              <c:strCache>
                <c:ptCount val="1"/>
                <c:pt idx="0">
                  <c:v>Tout à fait confaince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Feuil3!$B$5:$M$5</c:f>
              <c:numCache>
                <c:formatCode>General</c:formatCode>
                <c:ptCount val="12"/>
                <c:pt idx="0">
                  <c:v>75</c:v>
                </c:pt>
                <c:pt idx="1">
                  <c:v>26</c:v>
                </c:pt>
                <c:pt idx="2">
                  <c:v>25</c:v>
                </c:pt>
                <c:pt idx="3">
                  <c:v>73</c:v>
                </c:pt>
                <c:pt idx="4">
                  <c:v>40</c:v>
                </c:pt>
                <c:pt idx="5">
                  <c:v>65</c:v>
                </c:pt>
                <c:pt idx="6">
                  <c:v>35</c:v>
                </c:pt>
                <c:pt idx="7">
                  <c:v>15</c:v>
                </c:pt>
                <c:pt idx="8">
                  <c:v>34</c:v>
                </c:pt>
                <c:pt idx="9">
                  <c:v>38</c:v>
                </c:pt>
                <c:pt idx="10">
                  <c:v>43</c:v>
                </c:pt>
                <c:pt idx="11">
                  <c:v>42</c:v>
                </c:pt>
              </c:numCache>
            </c:numRef>
          </c:val>
          <c:extLst>
            <c:ext xmlns:c16="http://schemas.microsoft.com/office/drawing/2014/chart" uri="{C3380CC4-5D6E-409C-BE32-E72D297353CC}">
              <c16:uniqueId val="{00000003-8568-4A71-A632-FD61E730DB5A}"/>
            </c:ext>
          </c:extLst>
        </c:ser>
        <c:dLbls>
          <c:dLblPos val="outEnd"/>
          <c:showLegendKey val="0"/>
          <c:showVal val="1"/>
          <c:showCatName val="0"/>
          <c:showSerName val="0"/>
          <c:showPercent val="0"/>
          <c:showBubbleSize val="0"/>
        </c:dLbls>
        <c:gapWidth val="219"/>
        <c:overlap val="-27"/>
        <c:axId val="-2132876520"/>
        <c:axId val="-2095643672"/>
      </c:barChart>
      <c:catAx>
        <c:axId val="-213287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095643672"/>
        <c:crosses val="autoZero"/>
        <c:auto val="1"/>
        <c:lblAlgn val="ctr"/>
        <c:lblOffset val="100"/>
        <c:noMultiLvlLbl val="0"/>
      </c:catAx>
      <c:valAx>
        <c:axId val="-2095643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32876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Garamond" panose="02020404030301010803" pitchFamily="18" charset="0"/>
                <a:ea typeface="+mn-ea"/>
                <a:cs typeface="+mn-cs"/>
              </a:defRPr>
            </a:pPr>
            <a:r>
              <a:rPr lang="fr-FR" b="1">
                <a:latin typeface="Garamond" panose="02020404030301010803" pitchFamily="18" charset="0"/>
              </a:rPr>
              <a:t>Quelle devrait être selon vous la durée de la transition?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Garamond" panose="02020404030301010803" pitchFamily="18" charset="0"/>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81B3-41CD-895E-51AE0D3B776A}"/>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81B3-41CD-895E-51AE0D3B776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Feuil1!$A$33:$A$36</c:f>
              <c:strCache>
                <c:ptCount val="4"/>
                <c:pt idx="0">
                  <c:v>plus de deux ans</c:v>
                </c:pt>
                <c:pt idx="1">
                  <c:v>Moins d'une année</c:v>
                </c:pt>
                <c:pt idx="2">
                  <c:v>Une période transitoire d'une année</c:v>
                </c:pt>
                <c:pt idx="3">
                  <c:v>Deux ans</c:v>
                </c:pt>
              </c:strCache>
            </c:strRef>
          </c:cat>
          <c:val>
            <c:numRef>
              <c:f>Feuil1!$B$33:$B$36</c:f>
              <c:numCache>
                <c:formatCode>0.00</c:formatCode>
                <c:ptCount val="4"/>
                <c:pt idx="0">
                  <c:v>19.979919678714861</c:v>
                </c:pt>
                <c:pt idx="1">
                  <c:v>24.59839357429718</c:v>
                </c:pt>
                <c:pt idx="2">
                  <c:v>27.510040160642571</c:v>
                </c:pt>
                <c:pt idx="3">
                  <c:v>27.91164658634537</c:v>
                </c:pt>
              </c:numCache>
            </c:numRef>
          </c:val>
          <c:extLst>
            <c:ext xmlns:c16="http://schemas.microsoft.com/office/drawing/2014/chart" uri="{C3380CC4-5D6E-409C-BE32-E72D297353CC}">
              <c16:uniqueId val="{00000004-81B3-41CD-895E-51AE0D3B776A}"/>
            </c:ext>
          </c:extLst>
        </c:ser>
        <c:dLbls>
          <c:dLblPos val="outEnd"/>
          <c:showLegendKey val="0"/>
          <c:showVal val="1"/>
          <c:showCatName val="0"/>
          <c:showSerName val="0"/>
          <c:showPercent val="0"/>
          <c:showBubbleSize val="0"/>
        </c:dLbls>
        <c:gapWidth val="182"/>
        <c:axId val="-2134739032"/>
        <c:axId val="-2131198872"/>
      </c:barChart>
      <c:catAx>
        <c:axId val="-2134739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131198872"/>
        <c:crosses val="autoZero"/>
        <c:auto val="1"/>
        <c:lblAlgn val="ctr"/>
        <c:lblOffset val="100"/>
        <c:noMultiLvlLbl val="0"/>
      </c:catAx>
      <c:valAx>
        <c:axId val="-213119887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34739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Feuil4!$A$3</c:f>
              <c:strCache>
                <c:ptCount val="1"/>
                <c:pt idx="0">
                  <c:v>Plus de deux ans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Feuil4!$B$2:$M$2</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Feuil4!$B$3:$M$3</c:f>
              <c:numCache>
                <c:formatCode>General</c:formatCode>
                <c:ptCount val="12"/>
                <c:pt idx="0">
                  <c:v>0</c:v>
                </c:pt>
                <c:pt idx="1">
                  <c:v>15</c:v>
                </c:pt>
                <c:pt idx="2">
                  <c:v>4</c:v>
                </c:pt>
                <c:pt idx="3">
                  <c:v>25</c:v>
                </c:pt>
                <c:pt idx="4">
                  <c:v>0</c:v>
                </c:pt>
                <c:pt idx="5">
                  <c:v>0</c:v>
                </c:pt>
                <c:pt idx="6">
                  <c:v>29</c:v>
                </c:pt>
                <c:pt idx="7">
                  <c:v>18</c:v>
                </c:pt>
                <c:pt idx="8">
                  <c:v>28</c:v>
                </c:pt>
                <c:pt idx="9">
                  <c:v>11</c:v>
                </c:pt>
                <c:pt idx="10">
                  <c:v>3</c:v>
                </c:pt>
                <c:pt idx="11">
                  <c:v>50</c:v>
                </c:pt>
              </c:numCache>
            </c:numRef>
          </c:val>
          <c:extLst>
            <c:ext xmlns:c16="http://schemas.microsoft.com/office/drawing/2014/chart" uri="{C3380CC4-5D6E-409C-BE32-E72D297353CC}">
              <c16:uniqueId val="{00000000-9CAD-4D55-BE8D-716402D82D33}"/>
            </c:ext>
          </c:extLst>
        </c:ser>
        <c:ser>
          <c:idx val="1"/>
          <c:order val="1"/>
          <c:tx>
            <c:strRef>
              <c:f>Feuil4!$A$4</c:f>
              <c:strCache>
                <c:ptCount val="1"/>
                <c:pt idx="0">
                  <c:v>Deux ans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Feuil4!$B$2:$M$2</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Feuil4!$B$4:$M$4</c:f>
              <c:numCache>
                <c:formatCode>General</c:formatCode>
                <c:ptCount val="12"/>
                <c:pt idx="0">
                  <c:v>25</c:v>
                </c:pt>
                <c:pt idx="1">
                  <c:v>13</c:v>
                </c:pt>
                <c:pt idx="2">
                  <c:v>30</c:v>
                </c:pt>
                <c:pt idx="3">
                  <c:v>45</c:v>
                </c:pt>
                <c:pt idx="4">
                  <c:v>0</c:v>
                </c:pt>
                <c:pt idx="5">
                  <c:v>18</c:v>
                </c:pt>
                <c:pt idx="6">
                  <c:v>19</c:v>
                </c:pt>
                <c:pt idx="7">
                  <c:v>48</c:v>
                </c:pt>
                <c:pt idx="8">
                  <c:v>25</c:v>
                </c:pt>
                <c:pt idx="9">
                  <c:v>24</c:v>
                </c:pt>
                <c:pt idx="10">
                  <c:v>47</c:v>
                </c:pt>
                <c:pt idx="11">
                  <c:v>27</c:v>
                </c:pt>
              </c:numCache>
            </c:numRef>
          </c:val>
          <c:extLst>
            <c:ext xmlns:c16="http://schemas.microsoft.com/office/drawing/2014/chart" uri="{C3380CC4-5D6E-409C-BE32-E72D297353CC}">
              <c16:uniqueId val="{00000001-9CAD-4D55-BE8D-716402D82D33}"/>
            </c:ext>
          </c:extLst>
        </c:ser>
        <c:ser>
          <c:idx val="2"/>
          <c:order val="2"/>
          <c:tx>
            <c:strRef>
              <c:f>Feuil4!$A$5</c:f>
              <c:strCache>
                <c:ptCount val="1"/>
                <c:pt idx="0">
                  <c:v>Une période transitoire d'une année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Feuil4!$B$2:$M$2</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Feuil4!$B$5:$M$5</c:f>
              <c:numCache>
                <c:formatCode>General</c:formatCode>
                <c:ptCount val="12"/>
                <c:pt idx="0">
                  <c:v>50</c:v>
                </c:pt>
                <c:pt idx="1">
                  <c:v>34</c:v>
                </c:pt>
                <c:pt idx="2">
                  <c:v>59</c:v>
                </c:pt>
                <c:pt idx="3">
                  <c:v>17</c:v>
                </c:pt>
                <c:pt idx="4">
                  <c:v>40</c:v>
                </c:pt>
                <c:pt idx="5">
                  <c:v>24</c:v>
                </c:pt>
                <c:pt idx="6">
                  <c:v>22</c:v>
                </c:pt>
                <c:pt idx="7">
                  <c:v>15</c:v>
                </c:pt>
                <c:pt idx="8">
                  <c:v>17</c:v>
                </c:pt>
                <c:pt idx="9">
                  <c:v>41</c:v>
                </c:pt>
                <c:pt idx="10">
                  <c:v>38</c:v>
                </c:pt>
                <c:pt idx="11">
                  <c:v>10</c:v>
                </c:pt>
              </c:numCache>
            </c:numRef>
          </c:val>
          <c:extLst>
            <c:ext xmlns:c16="http://schemas.microsoft.com/office/drawing/2014/chart" uri="{C3380CC4-5D6E-409C-BE32-E72D297353CC}">
              <c16:uniqueId val="{00000002-9CAD-4D55-BE8D-716402D82D33}"/>
            </c:ext>
          </c:extLst>
        </c:ser>
        <c:ser>
          <c:idx val="3"/>
          <c:order val="3"/>
          <c:tx>
            <c:strRef>
              <c:f>Feuil4!$A$6</c:f>
              <c:strCache>
                <c:ptCount val="1"/>
                <c:pt idx="0">
                  <c:v>Moins d'une année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Feuil4!$B$2:$M$2</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Feuil4!$B$6:$M$6</c:f>
              <c:numCache>
                <c:formatCode>General</c:formatCode>
                <c:ptCount val="12"/>
                <c:pt idx="0">
                  <c:v>25</c:v>
                </c:pt>
                <c:pt idx="1">
                  <c:v>38</c:v>
                </c:pt>
                <c:pt idx="2">
                  <c:v>8</c:v>
                </c:pt>
                <c:pt idx="3">
                  <c:v>13</c:v>
                </c:pt>
                <c:pt idx="4">
                  <c:v>60</c:v>
                </c:pt>
                <c:pt idx="5">
                  <c:v>59</c:v>
                </c:pt>
                <c:pt idx="6">
                  <c:v>30</c:v>
                </c:pt>
                <c:pt idx="7">
                  <c:v>20</c:v>
                </c:pt>
                <c:pt idx="8">
                  <c:v>30</c:v>
                </c:pt>
                <c:pt idx="9">
                  <c:v>24</c:v>
                </c:pt>
                <c:pt idx="10">
                  <c:v>12</c:v>
                </c:pt>
                <c:pt idx="11">
                  <c:v>13</c:v>
                </c:pt>
              </c:numCache>
            </c:numRef>
          </c:val>
          <c:extLst>
            <c:ext xmlns:c16="http://schemas.microsoft.com/office/drawing/2014/chart" uri="{C3380CC4-5D6E-409C-BE32-E72D297353CC}">
              <c16:uniqueId val="{00000003-9CAD-4D55-BE8D-716402D82D33}"/>
            </c:ext>
          </c:extLst>
        </c:ser>
        <c:dLbls>
          <c:dLblPos val="outEnd"/>
          <c:showLegendKey val="0"/>
          <c:showVal val="1"/>
          <c:showCatName val="0"/>
          <c:showSerName val="0"/>
          <c:showPercent val="0"/>
          <c:showBubbleSize val="0"/>
        </c:dLbls>
        <c:gapWidth val="219"/>
        <c:overlap val="-27"/>
        <c:axId val="-2136576904"/>
        <c:axId val="-2147232024"/>
      </c:barChart>
      <c:catAx>
        <c:axId val="-213657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147232024"/>
        <c:crosses val="autoZero"/>
        <c:auto val="1"/>
        <c:lblAlgn val="ctr"/>
        <c:lblOffset val="100"/>
        <c:noMultiLvlLbl val="0"/>
      </c:catAx>
      <c:valAx>
        <c:axId val="-21472320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36576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CC29-42C0-9864-C4EC66AB8505}"/>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Feuil1!$A$40:$A$43</c:f>
              <c:strCache>
                <c:ptCount val="4"/>
                <c:pt idx="0">
                  <c:v>Un politique</c:v>
                </c:pt>
                <c:pt idx="1">
                  <c:v>Un militaire</c:v>
                </c:pt>
                <c:pt idx="2">
                  <c:v>Autres</c:v>
                </c:pt>
                <c:pt idx="3">
                  <c:v>Un réligieux</c:v>
                </c:pt>
              </c:strCache>
            </c:strRef>
          </c:cat>
          <c:val>
            <c:numRef>
              <c:f>Feuil1!$B$40:$B$43</c:f>
              <c:numCache>
                <c:formatCode>0.00</c:formatCode>
                <c:ptCount val="4"/>
                <c:pt idx="0">
                  <c:v>45.180722891566248</c:v>
                </c:pt>
                <c:pt idx="1">
                  <c:v>26.30522088353413</c:v>
                </c:pt>
                <c:pt idx="2">
                  <c:v>15.46184738955824</c:v>
                </c:pt>
                <c:pt idx="3">
                  <c:v>13.05220883534137</c:v>
                </c:pt>
              </c:numCache>
            </c:numRef>
          </c:val>
          <c:extLst>
            <c:ext xmlns:c16="http://schemas.microsoft.com/office/drawing/2014/chart" uri="{C3380CC4-5D6E-409C-BE32-E72D297353CC}">
              <c16:uniqueId val="{00000002-CC29-42C0-9864-C4EC66AB8505}"/>
            </c:ext>
          </c:extLst>
        </c:ser>
        <c:dLbls>
          <c:dLblPos val="outEnd"/>
          <c:showLegendKey val="0"/>
          <c:showVal val="1"/>
          <c:showCatName val="0"/>
          <c:showSerName val="0"/>
          <c:showPercent val="0"/>
          <c:showBubbleSize val="0"/>
        </c:dLbls>
        <c:gapWidth val="219"/>
        <c:overlap val="-27"/>
        <c:axId val="-2134363000"/>
        <c:axId val="-2090712840"/>
      </c:barChart>
      <c:catAx>
        <c:axId val="-213436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090712840"/>
        <c:crosses val="autoZero"/>
        <c:auto val="1"/>
        <c:lblAlgn val="ctr"/>
        <c:lblOffset val="100"/>
        <c:noMultiLvlLbl val="0"/>
      </c:catAx>
      <c:valAx>
        <c:axId val="-209071284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3436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FR" sz="1200" b="1">
                <a:latin typeface="Garamond" panose="02020404030301010803" pitchFamily="18" charset="0"/>
              </a:rPr>
              <a:t>Communes</a:t>
            </a:r>
            <a:r>
              <a:rPr lang="fr-FR" sz="1200">
                <a:latin typeface="Garamond" panose="02020404030301010803" pitchFamily="18" charset="0"/>
              </a:rPr>
              <a:t>*</a:t>
            </a:r>
            <a:r>
              <a:rPr lang="fr-FR" sz="1200" b="1" i="0" baseline="0">
                <a:effectLst/>
                <a:latin typeface="Garamond" panose="02020404030301010803" pitchFamily="18" charset="0"/>
              </a:rPr>
              <a:t>Quel profil devrait mieux conduire le Gouvernement de la transition?</a:t>
            </a:r>
            <a:endParaRPr lang="fr-FR" sz="1200">
              <a:effectLst/>
              <a:latin typeface="Garamond" panose="02020404030301010803" pitchFamily="18" charset="0"/>
            </a:endParaRPr>
          </a:p>
        </c:rich>
      </c:tx>
      <c:overlay val="0"/>
      <c:spPr>
        <a:noFill/>
        <a:ln>
          <a:noFill/>
        </a:ln>
        <a:effectLst/>
      </c:spPr>
    </c:title>
    <c:autoTitleDeleted val="0"/>
    <c:plotArea>
      <c:layout/>
      <c:barChart>
        <c:barDir val="col"/>
        <c:grouping val="clustered"/>
        <c:varyColors val="0"/>
        <c:ser>
          <c:idx val="0"/>
          <c:order val="0"/>
          <c:tx>
            <c:strRef>
              <c:f>Feuil5!$A$2</c:f>
              <c:strCache>
                <c:ptCount val="1"/>
                <c:pt idx="0">
                  <c:v>Autres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Feuil5!$B$2:$M$2</c:f>
              <c:numCache>
                <c:formatCode>General</c:formatCode>
                <c:ptCount val="12"/>
                <c:pt idx="0">
                  <c:v>0</c:v>
                </c:pt>
                <c:pt idx="1">
                  <c:v>17</c:v>
                </c:pt>
                <c:pt idx="2">
                  <c:v>6</c:v>
                </c:pt>
                <c:pt idx="3">
                  <c:v>4</c:v>
                </c:pt>
                <c:pt idx="4">
                  <c:v>7</c:v>
                </c:pt>
                <c:pt idx="5">
                  <c:v>0</c:v>
                </c:pt>
                <c:pt idx="6">
                  <c:v>21</c:v>
                </c:pt>
                <c:pt idx="7">
                  <c:v>16</c:v>
                </c:pt>
                <c:pt idx="8">
                  <c:v>31</c:v>
                </c:pt>
                <c:pt idx="9">
                  <c:v>14</c:v>
                </c:pt>
                <c:pt idx="10">
                  <c:v>12</c:v>
                </c:pt>
                <c:pt idx="11">
                  <c:v>20</c:v>
                </c:pt>
              </c:numCache>
            </c:numRef>
          </c:val>
          <c:extLst>
            <c:ext xmlns:c16="http://schemas.microsoft.com/office/drawing/2014/chart" uri="{C3380CC4-5D6E-409C-BE32-E72D297353CC}">
              <c16:uniqueId val="{00000000-CA16-4746-B687-681C42CD8CEB}"/>
            </c:ext>
          </c:extLst>
        </c:ser>
        <c:ser>
          <c:idx val="1"/>
          <c:order val="1"/>
          <c:tx>
            <c:strRef>
              <c:f>Feuil5!$A$3</c:f>
              <c:strCache>
                <c:ptCount val="1"/>
                <c:pt idx="0">
                  <c:v>Un militaire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Feuil5!$B$3:$M$3</c:f>
              <c:numCache>
                <c:formatCode>General</c:formatCode>
                <c:ptCount val="12"/>
                <c:pt idx="0">
                  <c:v>63</c:v>
                </c:pt>
                <c:pt idx="1">
                  <c:v>13</c:v>
                </c:pt>
                <c:pt idx="2">
                  <c:v>29</c:v>
                </c:pt>
                <c:pt idx="3">
                  <c:v>24</c:v>
                </c:pt>
                <c:pt idx="4">
                  <c:v>20</c:v>
                </c:pt>
                <c:pt idx="5">
                  <c:v>6</c:v>
                </c:pt>
                <c:pt idx="6">
                  <c:v>42</c:v>
                </c:pt>
                <c:pt idx="7">
                  <c:v>15</c:v>
                </c:pt>
                <c:pt idx="8">
                  <c:v>29</c:v>
                </c:pt>
                <c:pt idx="9">
                  <c:v>24</c:v>
                </c:pt>
                <c:pt idx="10">
                  <c:v>58</c:v>
                </c:pt>
                <c:pt idx="11">
                  <c:v>34</c:v>
                </c:pt>
              </c:numCache>
            </c:numRef>
          </c:val>
          <c:extLst>
            <c:ext xmlns:c16="http://schemas.microsoft.com/office/drawing/2014/chart" uri="{C3380CC4-5D6E-409C-BE32-E72D297353CC}">
              <c16:uniqueId val="{00000001-CA16-4746-B687-681C42CD8CEB}"/>
            </c:ext>
          </c:extLst>
        </c:ser>
        <c:ser>
          <c:idx val="2"/>
          <c:order val="2"/>
          <c:tx>
            <c:strRef>
              <c:f>Feuil5!$A$4</c:f>
              <c:strCache>
                <c:ptCount val="1"/>
                <c:pt idx="0">
                  <c:v>Un réligieux</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Feuil5!$B$4:$M$4</c:f>
              <c:numCache>
                <c:formatCode>General</c:formatCode>
                <c:ptCount val="12"/>
                <c:pt idx="0">
                  <c:v>0</c:v>
                </c:pt>
                <c:pt idx="1">
                  <c:v>10</c:v>
                </c:pt>
                <c:pt idx="2">
                  <c:v>21</c:v>
                </c:pt>
                <c:pt idx="3">
                  <c:v>4</c:v>
                </c:pt>
                <c:pt idx="4">
                  <c:v>0</c:v>
                </c:pt>
                <c:pt idx="5">
                  <c:v>0</c:v>
                </c:pt>
                <c:pt idx="6">
                  <c:v>10</c:v>
                </c:pt>
                <c:pt idx="7">
                  <c:v>10</c:v>
                </c:pt>
                <c:pt idx="8">
                  <c:v>16</c:v>
                </c:pt>
                <c:pt idx="9">
                  <c:v>16</c:v>
                </c:pt>
                <c:pt idx="10">
                  <c:v>18</c:v>
                </c:pt>
                <c:pt idx="11">
                  <c:v>28</c:v>
                </c:pt>
              </c:numCache>
            </c:numRef>
          </c:val>
          <c:extLst>
            <c:ext xmlns:c16="http://schemas.microsoft.com/office/drawing/2014/chart" uri="{C3380CC4-5D6E-409C-BE32-E72D297353CC}">
              <c16:uniqueId val="{00000002-CA16-4746-B687-681C42CD8CEB}"/>
            </c:ext>
          </c:extLst>
        </c:ser>
        <c:ser>
          <c:idx val="3"/>
          <c:order val="3"/>
          <c:tx>
            <c:strRef>
              <c:f>Feuil5!$A$5</c:f>
              <c:strCache>
                <c:ptCount val="1"/>
                <c:pt idx="0">
                  <c:v>Un politique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Feuil5!$B$1:$M$1</c:f>
              <c:strCache>
                <c:ptCount val="12"/>
                <c:pt idx="0">
                  <c:v>Kaloum</c:v>
                </c:pt>
                <c:pt idx="1">
                  <c:v>Kankan</c:v>
                </c:pt>
                <c:pt idx="2">
                  <c:v>Labé</c:v>
                </c:pt>
                <c:pt idx="3">
                  <c:v>N'Zérékoré</c:v>
                </c:pt>
                <c:pt idx="4">
                  <c:v>Matam</c:v>
                </c:pt>
                <c:pt idx="5">
                  <c:v>Dixinn</c:v>
                </c:pt>
                <c:pt idx="6">
                  <c:v>Matoto</c:v>
                </c:pt>
                <c:pt idx="7">
                  <c:v>Ratoma</c:v>
                </c:pt>
                <c:pt idx="8">
                  <c:v>Kindia</c:v>
                </c:pt>
                <c:pt idx="9">
                  <c:v>Boké</c:v>
                </c:pt>
                <c:pt idx="10">
                  <c:v>Mamou</c:v>
                </c:pt>
                <c:pt idx="11">
                  <c:v>Faranah</c:v>
                </c:pt>
              </c:strCache>
            </c:strRef>
          </c:cat>
          <c:val>
            <c:numRef>
              <c:f>Feuil5!$B$5:$M$5</c:f>
              <c:numCache>
                <c:formatCode>General</c:formatCode>
                <c:ptCount val="12"/>
                <c:pt idx="0">
                  <c:v>38</c:v>
                </c:pt>
                <c:pt idx="1">
                  <c:v>60</c:v>
                </c:pt>
                <c:pt idx="2">
                  <c:v>44</c:v>
                </c:pt>
                <c:pt idx="3">
                  <c:v>68</c:v>
                </c:pt>
                <c:pt idx="4">
                  <c:v>73</c:v>
                </c:pt>
                <c:pt idx="5">
                  <c:v>94</c:v>
                </c:pt>
                <c:pt idx="6">
                  <c:v>27</c:v>
                </c:pt>
                <c:pt idx="7">
                  <c:v>60</c:v>
                </c:pt>
                <c:pt idx="8">
                  <c:v>24</c:v>
                </c:pt>
                <c:pt idx="9">
                  <c:v>46</c:v>
                </c:pt>
                <c:pt idx="10">
                  <c:v>12</c:v>
                </c:pt>
                <c:pt idx="11">
                  <c:v>18</c:v>
                </c:pt>
              </c:numCache>
            </c:numRef>
          </c:val>
          <c:extLst>
            <c:ext xmlns:c16="http://schemas.microsoft.com/office/drawing/2014/chart" uri="{C3380CC4-5D6E-409C-BE32-E72D297353CC}">
              <c16:uniqueId val="{00000003-CA16-4746-B687-681C42CD8CEB}"/>
            </c:ext>
          </c:extLst>
        </c:ser>
        <c:dLbls>
          <c:dLblPos val="outEnd"/>
          <c:showLegendKey val="0"/>
          <c:showVal val="1"/>
          <c:showCatName val="0"/>
          <c:showSerName val="0"/>
          <c:showPercent val="0"/>
          <c:showBubbleSize val="0"/>
        </c:dLbls>
        <c:gapWidth val="219"/>
        <c:overlap val="-27"/>
        <c:axId val="-2094791336"/>
        <c:axId val="-2083567816"/>
      </c:barChart>
      <c:catAx>
        <c:axId val="-209479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083567816"/>
        <c:crosses val="autoZero"/>
        <c:auto val="1"/>
        <c:lblAlgn val="ctr"/>
        <c:lblOffset val="100"/>
        <c:noMultiLvlLbl val="0"/>
      </c:catAx>
      <c:valAx>
        <c:axId val="-20835678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94791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latin typeface="Garamond" panose="02020404030301010803" pitchFamily="18" charset="0"/>
              </a:rPr>
              <a:t>A quoi devrait servir le cadre de concertation</a:t>
            </a:r>
            <a:r>
              <a:rPr lang="fr-FR" b="1"/>
              <a: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1FE-48AD-8014-A9887011875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1FE-48AD-8014-A98870118753}"/>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21FE-48AD-8014-A98870118753}"/>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Feuil1!$A$46:$A$49</c:f>
              <c:strCache>
                <c:ptCount val="4"/>
                <c:pt idx="0">
                  <c:v>Reconcilier les guinéens</c:v>
                </c:pt>
                <c:pt idx="1">
                  <c:v>Préparer les élections</c:v>
                </c:pt>
                <c:pt idx="2">
                  <c:v>Elaborer une nouvelle constitution </c:v>
                </c:pt>
                <c:pt idx="3">
                  <c:v>Autres</c:v>
                </c:pt>
              </c:strCache>
            </c:strRef>
          </c:cat>
          <c:val>
            <c:numRef>
              <c:f>Feuil1!$B$46:$B$49</c:f>
              <c:numCache>
                <c:formatCode>0.00</c:formatCode>
                <c:ptCount val="4"/>
                <c:pt idx="0">
                  <c:v>43.072289156626489</c:v>
                </c:pt>
                <c:pt idx="1">
                  <c:v>40.863453815261053</c:v>
                </c:pt>
                <c:pt idx="2">
                  <c:v>12.65060240963855</c:v>
                </c:pt>
                <c:pt idx="3">
                  <c:v>3.413654618473895</c:v>
                </c:pt>
              </c:numCache>
            </c:numRef>
          </c:val>
          <c:extLst>
            <c:ext xmlns:c16="http://schemas.microsoft.com/office/drawing/2014/chart" uri="{C3380CC4-5D6E-409C-BE32-E72D297353CC}">
              <c16:uniqueId val="{00000006-21FE-48AD-8014-A98870118753}"/>
            </c:ext>
          </c:extLst>
        </c:ser>
        <c:dLbls>
          <c:dLblPos val="outEnd"/>
          <c:showLegendKey val="0"/>
          <c:showVal val="1"/>
          <c:showCatName val="0"/>
          <c:showSerName val="0"/>
          <c:showPercent val="0"/>
          <c:showBubbleSize val="0"/>
        </c:dLbls>
        <c:gapWidth val="219"/>
        <c:overlap val="-27"/>
        <c:axId val="-2136644552"/>
        <c:axId val="-2111298008"/>
      </c:barChart>
      <c:catAx>
        <c:axId val="-2136644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111298008"/>
        <c:crosses val="autoZero"/>
        <c:auto val="1"/>
        <c:lblAlgn val="ctr"/>
        <c:lblOffset val="100"/>
        <c:noMultiLvlLbl val="0"/>
      </c:catAx>
      <c:valAx>
        <c:axId val="-211129800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36644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289EA-14F7-47CB-9FE4-1D5AF7FA4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11</Pages>
  <Words>2265</Words>
  <Characters>12461</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Kabinet</cp:lastModifiedBy>
  <cp:revision>7</cp:revision>
  <cp:lastPrinted>2021-09-29T08:44:00Z</cp:lastPrinted>
  <dcterms:created xsi:type="dcterms:W3CDTF">2021-09-29T02:04:00Z</dcterms:created>
  <dcterms:modified xsi:type="dcterms:W3CDTF">2021-09-29T13:18:00Z</dcterms:modified>
</cp:coreProperties>
</file>